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color w:val="6E6E6E"/>
          <w:sz w:val="17"/>
        </w:rPr>
        <w:t>Юристы в джинсах • образец документа</w:t>
      </w:r>
    </w:p>
    <w:p>
      <w:pPr>
        <w:pStyle w:val="Title"/>
        <w:jc w:val="center"/>
      </w:pPr>
      <w:r>
        <w:t>Претензия о прекращении незаконного использования произведения / охраняемого персонажа и выплате компенсации</w:t>
      </w:r>
    </w:p>
    <w:p>
      <w:pPr>
        <w:jc w:val="center"/>
      </w:pPr>
      <w:r>
        <w:rPr>
          <w:i/>
          <w:color w:val="5A5A5A"/>
          <w:sz w:val="19"/>
        </w:rPr>
        <w:t>Универсальный шаблон для статей №408 и №409; удалить неприменимую ветку перед отправкой</w:t>
      </w:r>
    </w:p>
    <w:p>
      <w:pPr>
        <w:jc w:val="center"/>
      </w:pPr>
      <w:r>
        <w:rPr>
          <w:b/>
          <w:sz w:val="19"/>
        </w:rPr>
        <w:t>Категория: Претензии</w:t>
      </w:r>
    </w:p>
    <w:tbl>
      <w:tblPr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4986"/>
          </w:tcPr>
          <w:p>
            <w:r/>
          </w:p>
        </w:tc>
        <w:tc>
          <w:tcPr>
            <w:tcW w:type="dxa" w:w="4986"/>
          </w:tcPr>
          <w:p>
            <w:pPr>
              <w:spacing w:after="20"/>
            </w:pPr>
            <w:r>
              <w:rPr>
                <w:sz w:val="19"/>
              </w:rPr>
              <w:t>Нарушителю/продавцу/издателю: ______________</w:t>
            </w:r>
          </w:p>
          <w:p>
            <w:pPr>
              <w:spacing w:after="20"/>
            </w:pPr>
            <w:r>
              <w:rPr>
                <w:sz w:val="19"/>
              </w:rPr>
              <w:t>от правообладателя: ________________________</w:t>
            </w:r>
          </w:p>
        </w:tc>
      </w:tr>
    </w:tbl>
    <w:p>
      <w:pPr>
        <w:pStyle w:val="Heading1"/>
      </w:pPr>
      <w:r>
        <w:t>Объект права</w:t>
      </w:r>
    </w:p>
    <w:p>
      <w:r>
        <w:t>Правообладателю принадлежит исключительное право на __________________ (произведение / перевод / охраняемый персонаж). Основание права: __________________. Спорное использование: __________________, площадка/товар/тираж/URL: __________________.</w:t>
      </w:r>
    </w:p>
    <w:p>
      <w:pPr>
        <w:pStyle w:val="Heading1"/>
      </w:pPr>
      <w:r>
        <w:t>Требования</w:t>
      </w:r>
    </w:p>
    <w:p>
      <w:pPr>
        <w:pStyle w:val="ListNumber"/>
        <w:spacing w:after="40"/>
      </w:pPr>
      <w:r>
        <w:t>Прекратить дальнейшее использование спорного объекта без разрешения правообладателя.</w:t>
      </w:r>
    </w:p>
    <w:p>
      <w:pPr>
        <w:pStyle w:val="ListNumber"/>
        <w:spacing w:after="40"/>
      </w:pPr>
      <w:r>
        <w:t>Удалить/изъять из предложения спорные материалы или товары в той части, в которой это допускается законом и соответствует характеру нарушения.</w:t>
      </w:r>
    </w:p>
    <w:p>
      <w:pPr>
        <w:pStyle w:val="ListNumber"/>
        <w:spacing w:after="40"/>
      </w:pPr>
      <w:r>
        <w:t>Предоставить сведения об объёме использования: период, тираж, продажи, площадки, изготовители/поставщики.</w:t>
      </w:r>
    </w:p>
    <w:p>
      <w:pPr>
        <w:pStyle w:val="ListNumber"/>
        <w:spacing w:after="40"/>
      </w:pPr>
      <w:r>
        <w:t>Выплатить компенсацию/возместить убытки в размере ______ руб. на выбранном правообладателем и подтверждённом законом основании.</w:t>
      </w:r>
    </w:p>
    <w:p>
      <w:pPr>
        <w:pStyle w:val="ListNumber"/>
        <w:spacing w:after="40"/>
      </w:pPr>
      <w:r>
        <w:t>Сохранить доказательства использования до урегулирования спора.</w:t>
      </w:r>
    </w:p>
    <w:p>
      <w:pPr>
        <w:pStyle w:val="Heading1"/>
      </w:pPr>
      <w:r>
        <w:t>Специальные пометки</w:t>
      </w:r>
    </w:p>
    <w:p>
      <w:pPr>
        <w:pStyle w:val="ListBullet"/>
        <w:spacing w:after="40"/>
      </w:pPr>
      <w:r>
        <w:t>Для перевода: подтвердить права на оригинал и отсутствие разрешения на перевод/переработку; полный перевод обычно не прикрывается правилами цитирования.</w:t>
      </w:r>
    </w:p>
    <w:p>
      <w:pPr>
        <w:pStyle w:val="ListBullet"/>
        <w:spacing w:after="40"/>
      </w:pPr>
      <w:r>
        <w:t>Для персонажа: показать узнаваемость персонажа как части конкретного произведения и его самостоятельный творческий характер; идея, стиль или общий типаж сами по себе не монополизируются.</w:t>
      </w:r>
    </w:p>
    <w:p>
      <w:pPr>
        <w:pStyle w:val="ListBullet"/>
        <w:spacing w:after="40"/>
      </w:pPr>
      <w:r>
        <w:t>Если одновременно используется зарегистрированный товарный знак, требования по статьям 1484 и 1515 ГК РФ оцениваются отдельно, а не автоматически добавляются к авторскому праву.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  <w:shd w:fill="F4F1EA"/>
            <w:vAlign w:val="center"/>
          </w:tcPr>
          <w:p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>Этот документ не использовать против перепродажи подлинного лицензионного экземпляра только потому, что на нём есть персонаж. Сначала установите, изготовил ли ответчик новый товар/копию или лишь перепродаёт законно введённый в оборот экземпляр.</w:t>
            </w:r>
          </w:p>
        </w:tc>
      </w:tr>
    </w:tbl>
    <w:p>
      <w:pPr>
        <w:pStyle w:val="Heading1"/>
      </w:pPr>
      <w:r>
        <w:t>Правовая основа</w:t>
      </w:r>
    </w:p>
    <w:p>
      <w:r>
        <w:t>ГК РФ: статьи 1252, 1252.1, 1259, 1260, 1270, 1301; для персонажа - правовые позиции о защите узнаваемой части произведения; для товарного знака - статьи 1484 и 1515 только при отдельном фактическом основании.</w:t>
      </w:r>
    </w:p>
    <w:p>
      <w:r>
        <w:rPr>
          <w:b/>
        </w:rPr>
        <w:t>Правовая проверка</w:t>
      </w:r>
      <w:r>
        <w:t xml:space="preserve"> шаблона выполнена по состоянию на 27 августа 2026 года. Перед подачей заполните факты и проверьте адресата и процессуальную стадию.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841B23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