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АПЕЛЛЯЦИОННАЯ ЖАЛОБА НА ОПРЕДЕЛЕНИЕ О ПРИВЛЕЧЕНИИ К СУБСИДИАРНОЙ ОТВЕТСТВЕННОСТИ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188, 257–260 АПК РФ; Закон № 127-ФЗ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[арбитражный апелляционный суд] через Арбитражный суд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Дело №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Апеллянт: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Другие лица: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Обжалуемый судебный акт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Определение от [дата] получено [дата], которым [кратко]. Жалоба подаётся в предусмотренный АПК РФ срок; конкретный срок проверяется по виду определения и специальным правилам дела о банкротстве.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Основания отмены/изменения</w:t>
      </w:r>
    </w:p>
    <w:p>
      <w:pPr>
        <w:pStyle w:val="ListBullet"/>
        <w:spacing w:after="40" w:line="245" w:lineRule="auto"/>
      </w:pPr>
      <w:r>
        <w:t>Неправильно установлена роль и степень контроля ответчика: [___].</w:t>
      </w:r>
    </w:p>
    <w:p>
      <w:pPr>
        <w:pStyle w:val="ListBullet"/>
        <w:spacing w:after="40" w:line="245" w:lineRule="auto"/>
      </w:pPr>
      <w:r>
        <w:t>Не доказана причинная связь между конкретным действием и невозможностью полного погашения требований: [___].</w:t>
      </w:r>
    </w:p>
    <w:p>
      <w:pPr>
        <w:pStyle w:val="ListBullet"/>
        <w:spacing w:after="40" w:line="245" w:lineRule="auto"/>
      </w:pPr>
      <w:r>
        <w:t>Неверно применены или не исследованы презумпции вины/освобождения: [___].</w:t>
      </w:r>
    </w:p>
    <w:p>
      <w:pPr>
        <w:pStyle w:val="ListBullet"/>
        <w:spacing w:after="40" w:line="245" w:lineRule="auto"/>
      </w:pPr>
      <w:r>
        <w:t>Не рассмотрены документы передачи дел, объективные причины кризиса и альтернативный расчёт: [___].</w:t>
      </w:r>
    </w:p>
    <w:p>
      <w:pPr>
        <w:pStyle w:val="ListBullet"/>
        <w:spacing w:after="40" w:line="245" w:lineRule="auto"/>
      </w:pPr>
      <w:r>
        <w:t>Допущены процессуальные нарушения, повлиявшие на исход: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Госпошлина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Госпошлину по апелляционной жалобе рассчитать по действующей ст. 333.21 НК РФ и специальному правилу для обособленного спора в деле о банкротстве. Перед подачей проверить актуальную сумму и льготы.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</w:t>
      </w:r>
    </w:p>
    <w:p>
      <w:pPr>
        <w:pStyle w:val="ListNumber"/>
        <w:spacing w:after="40" w:line="245" w:lineRule="auto"/>
      </w:pPr>
      <w:r>
        <w:t>Отменить/изменить определение в обжалуемой части.</w:t>
      </w:r>
    </w:p>
    <w:p>
      <w:pPr>
        <w:pStyle w:val="ListNumber"/>
        <w:spacing w:after="40" w:line="245" w:lineRule="auto"/>
      </w:pPr>
      <w:r>
        <w:t>Принять новый судебный акт об отказе в привлечении / уменьшении размера ответственности — по обстоятельствам.</w:t>
      </w:r>
    </w:p>
    <w:p>
      <w:pPr>
        <w:pStyle w:val="ListNumber"/>
        <w:spacing w:after="40" w:line="245" w:lineRule="auto"/>
      </w:pPr>
      <w:r>
        <w:t>При необходимости направить обособленный спор на новое рассмотрение.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обжалуемое определение</w:t>
      </w:r>
    </w:p>
    <w:p>
      <w:pPr>
        <w:pStyle w:val="ListBullet"/>
        <w:spacing w:after="40" w:line="245" w:lineRule="auto"/>
      </w:pPr>
      <w:r>
        <w:t>доказательства направления жалобы участникам</w:t>
      </w:r>
    </w:p>
    <w:p>
      <w:pPr>
        <w:pStyle w:val="ListBullet"/>
        <w:spacing w:after="40" w:line="245" w:lineRule="auto"/>
      </w:pPr>
      <w:r>
        <w:t>документ о госпошлине/льготе</w:t>
      </w:r>
    </w:p>
    <w:p>
      <w:pPr>
        <w:pStyle w:val="ListBullet"/>
        <w:spacing w:after="40" w:line="245" w:lineRule="auto"/>
      </w:pPr>
      <w:r>
        <w:t>новые доказательства и обоснование невозможности представить их ранее — если есть</w:t>
      </w:r>
    </w:p>
    <w:p>
      <w:pPr>
        <w:pStyle w:val="ListBullet"/>
        <w:spacing w:after="40" w:line="245" w:lineRule="auto"/>
      </w:pPr>
      <w:r>
        <w:t>доверенность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