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Черновик первичного и дополнительного уведомления Роскомнадзора об инциденте</w:t>
      </w:r>
    </w:p>
    <w:p>
      <w:pPr>
        <w:spacing w:after="200"/>
      </w:pPr>
      <w:r>
        <w:rPr>
          <w:b/>
          <w:color w:val="676767"/>
        </w:rPr>
        <w:t>Категория: Заявления  •  Статья сайта: №498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Компьютерный инцидент повлёк неправомерный или случайный доступ к персональным данным. Сведения из документа переносятся в официальную электронную форму Роскомнадзора.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left"/>
      </w:pPr>
      <w:r>
        <w:rPr>
          <w:color w:val="14213D"/>
          <w:sz w:val="20"/>
        </w:rPr>
        <w:t>Оператор персональных данных: [полное наименование, ИНН/ОГРН]</w:t>
      </w:r>
    </w:p>
    <w:p>
      <w:pPr>
        <w:spacing w:after="40"/>
        <w:jc w:val="left"/>
      </w:pPr>
      <w:r>
        <w:rPr>
          <w:color w:val="14213D"/>
          <w:sz w:val="20"/>
        </w:rPr>
        <w:t>Ответственное лицо: [ФИО, должность, телефон, e-mail]</w:t>
      </w:r>
    </w:p>
    <w:p>
      <w:pPr>
        <w:spacing w:after="40"/>
        <w:jc w:val="left"/>
      </w:pPr>
      <w:r>
        <w:rPr>
          <w:color w:val="14213D"/>
          <w:sz w:val="20"/>
        </w:rPr>
        <w:t>Дата и время выявления инцидента: [с часовым поясом]</w:t>
      </w:r>
    </w:p>
    <w:p>
      <w:pPr>
        <w:pStyle w:val="Heading1"/>
      </w:pPr>
      <w:r>
        <w:t>РАБОЧИЙ ЧЕРНОВИК УВЕДОМЛЕНИЙ ОБ ИНЦИДЕНТЕ С ПЕРСОНАЛЬНЫМИ ДАННЫМИ</w:t>
      </w:r>
    </w:p>
    <w:p>
      <w:pPr>
        <w:pStyle w:val="Heading2"/>
      </w:pPr>
      <w:r>
        <w:t>Часть 1. Первичное уведомление — в течение 24 часов</w:t>
      </w:r>
    </w:p>
    <w:p>
      <w:r>
        <w:rPr>
          <w:b/>
        </w:rPr>
        <w:t xml:space="preserve">Характер инцидента: </w:t>
      </w:r>
      <w:r>
        <w:t>[неправомерный/случайный доступ, шифрование, копирование, уничтожение; подтверждённое отделить от предполагаемого].</w:t>
      </w:r>
    </w:p>
    <w:p>
      <w:r>
        <w:rPr>
          <w:b/>
        </w:rPr>
        <w:t xml:space="preserve">Дата и время: </w:t>
      </w:r>
      <w:r>
        <w:t>[когда произошёл и когда выявлен].</w:t>
      </w:r>
    </w:p>
    <w:p>
      <w:r>
        <w:rPr>
          <w:b/>
        </w:rPr>
        <w:t xml:space="preserve">Затронутые данные и субъекты: </w:t>
      </w:r>
      <w:r>
        <w:t>[категории данных, примерное число субъектов и записей, специальные/биометрические данные отдельно].</w:t>
      </w:r>
    </w:p>
    <w:p>
      <w:r>
        <w:rPr>
          <w:b/>
        </w:rPr>
        <w:t xml:space="preserve">Предполагаемые причины и последствия: </w:t>
      </w:r>
      <w:r>
        <w:t>[вектор атаки, возможный вред субъектам].</w:t>
      </w:r>
    </w:p>
    <w:p>
      <w:r>
        <w:rPr>
          <w:b/>
        </w:rPr>
        <w:t xml:space="preserve">Принятые меры: </w:t>
      </w:r>
      <w:r>
        <w:t>[изоляция, блокировка учётных записей, сохранение логов, уведомление правоохранительных органов].</w:t>
      </w:r>
    </w:p>
    <w:p>
      <w:r>
        <w:rPr>
          <w:b/>
        </w:rPr>
        <w:t xml:space="preserve">Контактное лицо: </w:t>
      </w:r>
      <w:r>
        <w:t>[ФИО и контакты для взаимодействия].</w:t>
      </w:r>
    </w:p>
    <w:p>
      <w:pPr>
        <w:pStyle w:val="Heading2"/>
      </w:pPr>
      <w:r>
        <w:t>Часть 2. Дополнительное уведомление — в течение 72 часов</w:t>
      </w:r>
    </w:p>
    <w:p>
      <w:r>
        <w:rPr>
          <w:b/>
        </w:rPr>
        <w:t xml:space="preserve">Результаты внутреннего расследования: </w:t>
      </w:r>
      <w:r>
        <w:t>[установленная хронология, затронутые системы, подтверждённый объём данных, способ доступа].</w:t>
      </w:r>
    </w:p>
    <w:p>
      <w:r>
        <w:rPr>
          <w:b/>
        </w:rPr>
        <w:t xml:space="preserve">Лица, действия которых стали причиной: </w:t>
      </w:r>
      <w:r>
        <w:t>[если установлены; не подменять предположением].</w:t>
      </w:r>
    </w:p>
    <w:p>
      <w:r>
        <w:rPr>
          <w:b/>
        </w:rPr>
        <w:t xml:space="preserve">Устранение причин и последствий: </w:t>
      </w:r>
      <w:r>
        <w:t>[закрытие уязвимости, смена ключей, восстановление, уведомление субъектов и контрагентов].</w:t>
      </w:r>
    </w:p>
    <w:p>
      <w:r>
        <w:rPr>
          <w:b/>
        </w:rPr>
        <w:t xml:space="preserve">Дополнительные материалы: </w:t>
      </w:r>
      <w:r>
        <w:t>[номер заявления в полицию, отчёт расследования, контакты подрядчика].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Сроки исчисляются с момента выявления инцидента оператором. Если расследование не завершено, первичное уведомление всё равно направляется в 24-часовой срок, а уточнённые результаты — в 72-часовой.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внутренний акт выявления инцидента;</w:t>
      </w:r>
    </w:p>
    <w:p>
      <w:pPr>
        <w:pStyle w:val="ListBullet"/>
        <w:numPr>
          <w:ilvl w:val="0"/>
          <w:numId w:val="11"/>
        </w:numPr>
      </w:pPr>
      <w:r>
        <w:t>хронология реагирования;</w:t>
      </w:r>
    </w:p>
    <w:p>
      <w:pPr>
        <w:pStyle w:val="ListBullet"/>
        <w:numPr>
          <w:ilvl w:val="0"/>
          <w:numId w:val="11"/>
        </w:numPr>
      </w:pPr>
      <w:r>
        <w:t>перечень затронутых систем и категорий данных;</w:t>
      </w:r>
    </w:p>
    <w:p>
      <w:pPr>
        <w:pStyle w:val="ListBullet"/>
        <w:numPr>
          <w:ilvl w:val="0"/>
          <w:numId w:val="11"/>
        </w:numPr>
      </w:pPr>
      <w:r>
        <w:t>номер сообщения в правоохранительные органы;</w:t>
      </w:r>
    </w:p>
    <w:p>
      <w:pPr>
        <w:pStyle w:val="ListBullet"/>
        <w:numPr>
          <w:ilvl w:val="0"/>
          <w:numId w:val="11"/>
        </w:numPr>
      </w:pPr>
      <w:r>
        <w:t>копия сведений, перенесённых в электронную форму.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часть 3.1 статьи 21 Федерального закона № 152-ФЗ «О персональных данных»; официальная форма уведомления о факте неправомерной или случайной передачи (предоставления, распространения, доступа) персональных данных размещена на портале Роскомнадзора.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 и приложения. В уголовном производстве согласуйте текст с защитником: формулировки зависят от процессуального статуса.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№498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