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Договор купли-продажи доли в праве общей собственности на недвижимость</w:t>
      </w:r>
    </w:p>
    <w:p>
      <w:pPr>
        <w:pStyle w:val="SmallNote"/>
      </w:pPr>
      <w:r>
        <w:t>Категория: Договоры  •  Статья сайта: №261</w:t>
      </w:r>
    </w:p>
    <w:p>
      <w:pPr>
        <w:pStyle w:val="SmallNote"/>
      </w:pPr>
      <w:r>
        <w:rPr>
          <w:color w:val="676767"/>
        </w:rPr>
        <w:t>Структура: СДЕЛКА: стороны • предмет • цена и расчёты • права и обязанности • заверения • регистрация • подписи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После соблюдения преимущественного права сособственников. Большинство сделок с отдельной долей требует нотариального удостоверения; исключения проверяет нотариус или регистратор по статье 42 Закона № 218-ФЗ.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left"/>
      </w:pPr>
      <w:r>
        <w:rPr>
          <w:color w:val="14213D"/>
          <w:sz w:val="20"/>
        </w:rPr>
        <w:t>Продавец: [ФИО, паспорт, адрес]</w:t>
      </w:r>
    </w:p>
    <w:p>
      <w:pPr>
        <w:spacing w:after="40"/>
        <w:jc w:val="left"/>
      </w:pPr>
      <w:r>
        <w:rPr>
          <w:color w:val="14213D"/>
          <w:sz w:val="20"/>
        </w:rPr>
        <w:t>Покупатель: [ФИО, паспорт, адрес]</w:t>
      </w:r>
    </w:p>
    <w:p>
      <w:pPr>
        <w:spacing w:after="40"/>
        <w:jc w:val="left"/>
      </w:pPr>
      <w:r>
        <w:rPr>
          <w:color w:val="14213D"/>
          <w:sz w:val="20"/>
        </w:rPr>
        <w:t>Объект: [квартира / земельный участок, адрес, кадастровый номер]</w:t>
      </w:r>
    </w:p>
    <w:p>
      <w:pPr>
        <w:pStyle w:val="Heading1"/>
      </w:pPr>
      <w:r>
        <w:t>ДОГОВОР КУПЛИ-ПРОДАЖИ ДОЛИ В ПРАВЕ ОБЩЕЙ СОБСТВЕННОСТИ</w:t>
      </w:r>
    </w:p>
    <w:p>
      <w:pPr>
        <w:pStyle w:val="Heading2"/>
      </w:pPr>
      <w:r>
        <w:t>ПРЕДМЕТ</w:t>
      </w:r>
    </w:p>
    <w:p>
      <w:r>
        <w:t>Продавец передаёт Покупателю [размер] доли в праве общей собственности на [полное описание объекта, кадастровый номер, площадь, назначение, категория и ВРИ для земли]. Право Продавца зарегистрировано [номер, дата].</w:t>
      </w:r>
    </w:p>
    <w:p>
      <w:pPr>
        <w:pStyle w:val="Heading2"/>
      </w:pPr>
      <w:r>
        <w:t>ЦЕНА И РАСЧЁТЫ</w:t>
      </w:r>
    </w:p>
    <w:p>
      <w:r>
        <w:t>Цена доли — [сумма] руб. Расчёты: [безопасный способ, условие раскрытия, срок]. Цена не ниже и условия не выгоднее тех, которые сообщены сособственникам.</w:t>
      </w:r>
    </w:p>
    <w:p>
      <w:pPr>
        <w:pStyle w:val="Heading2"/>
      </w:pPr>
      <w:r>
        <w:t>ПРЕИМУЩЕСТВЕННОЕ ПРАВО</w:t>
      </w:r>
    </w:p>
    <w:p>
      <w:r>
        <w:t>Сособственники извещены [способ, даты]. Подтверждения прилагаются / получены отказы [реквизиты].</w:t>
      </w:r>
    </w:p>
    <w:p>
      <w:pPr>
        <w:pStyle w:val="Heading2"/>
      </w:pPr>
      <w:r>
        <w:t>ЗАВЕРЕНИЯ И ПЕРЕДАЧА</w:t>
      </w:r>
    </w:p>
    <w:p>
      <w:pPr>
        <w:pStyle w:val="ListNumber"/>
        <w:numPr>
          <w:ilvl w:val="0"/>
          <w:numId w:val="10"/>
        </w:numPr>
      </w:pPr>
      <w:r>
        <w:t>Продавец подтверждает отсутствие неуказанных арестов, залога, спора, аренды, прав третьих лиц и задолженности, влияющей на сделку.</w:t>
      </w:r>
    </w:p>
    <w:p>
      <w:pPr>
        <w:pStyle w:val="ListNumber"/>
        <w:numPr>
          <w:ilvl w:val="0"/>
          <w:numId w:val="10"/>
        </w:numPr>
      </w:pPr>
      <w:r>
        <w:t>Состояние объекта и фактический порядок пользования: [описание]. Продажа доли сама по себе не закрепляет за Покупателем конкретную комнату или часть земли.</w:t>
      </w:r>
    </w:p>
    <w:p>
      <w:pPr>
        <w:pStyle w:val="ListNumber"/>
        <w:numPr>
          <w:ilvl w:val="0"/>
          <w:numId w:val="10"/>
        </w:numPr>
      </w:pPr>
      <w:r>
        <w:t>Передача и документы оформляются [акт / настоящий договор] в срок [срок].</w:t>
      </w:r>
    </w:p>
    <w:p>
      <w:pPr>
        <w:pStyle w:val="Heading2"/>
      </w:pPr>
      <w:r>
        <w:t>РЕГИСТРАЦИЯ И РАСХОДЫ</w:t>
      </w:r>
    </w:p>
    <w:p>
      <w:r>
        <w:t>Переход права подлежит государственной регистрации. Нотариальное удостоверение применяется, если закон не устанавливает исключение. Расходы несёт [распределение].</w:t>
      </w:r>
    </w:p>
    <w:p>
      <w:pPr>
        <w:pStyle w:val="Heading2"/>
      </w:pPr>
      <w:r>
        <w:t>ОТВЕТСТВЕННОСТЬ И СПОРЫ</w:t>
      </w:r>
    </w:p>
    <w:p>
      <w:r>
        <w:t>Стороны отвечают за достоверность заверений и возмещают доказанные убытки. Споры разрешаются по закону после переговоров, если обязательный порядок не установлен.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Для доли несовершеннолетнего требуется предварительное разрешение опеки. Для сельхозземель и доли в них этот шаблон без специальной проверки не применяется.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выписка ЕГРН;</w:t>
      </w:r>
    </w:p>
    <w:p>
      <w:pPr>
        <w:pStyle w:val="ListBullet"/>
        <w:numPr>
          <w:ilvl w:val="0"/>
          <w:numId w:val="11"/>
        </w:numPr>
      </w:pPr>
      <w:r>
        <w:t>извещения и доказательства вручения / отказы;</w:t>
      </w:r>
    </w:p>
    <w:p>
      <w:pPr>
        <w:pStyle w:val="ListBullet"/>
        <w:numPr>
          <w:ilvl w:val="0"/>
          <w:numId w:val="11"/>
        </w:numPr>
      </w:pPr>
      <w:r>
        <w:t>согласие супруга — если требуется;</w:t>
      </w:r>
    </w:p>
    <w:p>
      <w:pPr>
        <w:pStyle w:val="ListBullet"/>
        <w:numPr>
          <w:ilvl w:val="0"/>
          <w:numId w:val="11"/>
        </w:numPr>
      </w:pPr>
      <w:r>
        <w:t>разрешение опеки — если требуется;</w:t>
      </w:r>
    </w:p>
    <w:p>
      <w:pPr>
        <w:pStyle w:val="ListBullet"/>
        <w:numPr>
          <w:ilvl w:val="0"/>
          <w:numId w:val="11"/>
        </w:numPr>
      </w:pPr>
      <w:r>
        <w:t>акт передачи;</w:t>
      </w:r>
    </w:p>
    <w:p>
      <w:pPr>
        <w:pStyle w:val="ListBullet"/>
        <w:numPr>
          <w:ilvl w:val="0"/>
          <w:numId w:val="11"/>
        </w:numPr>
      </w:pPr>
      <w:r>
        <w:t>документы для нотариуса и регистрации.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131, 163, 209, 246, 250, 421, 432, 454, 460, 549–551, 556 ГК РФ; статья 42 Федерального закона № 218-ФЗ.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№261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