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залога автомобиля в обеспечение займа</w:t>
      </w:r>
    </w:p>
    <w:p>
      <w:r>
        <w:t xml:space="preserve">ДОГОВОР ЗАЛОГА ТРАНСПОРТНОГО СРЕДСТВА № [___]</w:t>
      </w:r>
    </w:p>
    <w:p>
      <w:r>
        <w:t xml:space="preserve">г. [Город] «___» ________ 20__ г.</w:t>
      </w:r>
    </w:p>
    <w:p/>
    <w:p>
      <w:r>
        <w:t xml:space="preserve">Залогодатель: [ФИО] (заёмщик), и Залогодержатель: [ФИО] (кредитор), заключили настоящий договор, регулируемый статьями 334–358 ГК РФ, в обеспечение обязательства по Договору займа № [___] от «___».</w:t>
      </w:r>
    </w:p>
    <w:p/>
    <w:p>
      <w:r>
        <w:t xml:space="preserve">1. ПРАВОВАЯ ОСНОВА</w:t>
      </w:r>
    </w:p>
    <w:p>
      <w:r>
        <w:t xml:space="preserve">1.1. Существенные условия: предмет залога, его оценка, у какой стороны находится имущество (ст. 339 ГК РФ).</w:t>
      </w:r>
    </w:p>
    <w:p/>
    <w:p>
      <w:r>
        <w:t xml:space="preserve">2. ПРЕДМЕТ ЗАЛОГА</w:t>
      </w:r>
    </w:p>
    <w:p>
      <w:r>
        <w:t xml:space="preserve">2.1. В залог передаётся ТС: [марка, VIN, год, госномер, ПТС]. Оценка по соглашению — [___] руб.</w:t>
      </w:r>
    </w:p>
    <w:p>
      <w:r>
        <w:t xml:space="preserve">2.2. Залогодатель гарантирует: ТС не заложено третьим лицам, не арестовано.</w:t>
      </w:r>
    </w:p>
    <w:p/>
    <w:p>
      <w:r>
        <w:t xml:space="preserve">3. ВЛАДЕНИЕ И ПОЛЬЗОВАНИЕ</w:t>
      </w:r>
    </w:p>
    <w:p>
      <w:r>
        <w:t xml:space="preserve">3.1. ТС остаётся у [Залогодателя / Залогодержателя].</w:t>
      </w:r>
    </w:p>
    <w:p>
      <w:r>
        <w:t xml:space="preserve">3.2. Залогодатель не вправе отчуждать, сдавать в аренду, передавать в последующий залог без письменного согласия Залогодержателя (ст. 346 ГК РФ).</w:t>
      </w:r>
    </w:p>
    <w:p/>
    <w:p>
      <w:r>
        <w:t xml:space="preserve">4. СТРАХОВАНИЕ</w:t>
      </w:r>
    </w:p>
    <w:p>
      <w:r>
        <w:t xml:space="preserve">4.1. Залогодатель страхует ТС по КАСКО; выгодоприобретатель — Залогодержатель на сумму обязательства. При гибели залога он распространяется на страховое возмещение (ст. 334 ГК РФ).</w:t>
      </w:r>
    </w:p>
    <w:p/>
    <w:p>
      <w:r>
        <w:t xml:space="preserve">5. ОБРАЩЕНИЕ ВЗЫСКАНИЯ</w:t>
      </w:r>
    </w:p>
    <w:p>
      <w:r>
        <w:t xml:space="preserve">5.1. Взыскание — [по решению суда / во внесудебном порядке по нотариально удостоверенному соглашению] (ст. 349 ГК РФ). Реализация — торги или оставление за собой по согласованной цене.</w:t>
      </w:r>
    </w:p>
    <w:p/>
    <w:p>
      <w:r>
        <w:t xml:space="preserve">6. ЗАКЛЮЧИТЕЛЬНЫЕ ПОЛОЖЕНИЯ</w:t>
      </w:r>
    </w:p>
    <w:p>
      <w:r>
        <w:t xml:space="preserve">6.1.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Залогодатель: ________________________ / [ФИО] /</w:t>
      </w:r>
    </w:p>
    <w:p>
      <w:r>
        <w:t xml:space="preserve">Залогодержатель: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334–358 ГК РФ.</w:t>
      </w:r>
    </w:p>
    <w:p>
      <w:r>
        <w:rPr>
          <w:i/>
          <w:iCs/>
          <w:sz w:val="18"/>
          <w:szCs w:val="18"/>
        </w:rPr>
        <w:t xml:space="preserve">НОТАРИУС: простая письменная форма. Соглашение о внесудебном взыскании — нотариально (п. 2 ст. 349 ГК РФ).</w:t>
      </w:r>
    </w:p>
    <w:p>
      <w:r>
        <w:rPr>
          <w:i/>
          <w:iCs/>
          <w:sz w:val="18"/>
          <w:szCs w:val="18"/>
        </w:rPr>
        <w:t xml:space="preserve">Госрегистрация: не требуется. Обязательна регистрация уведомления о залоге в Реестре залогов ФНП (ст. 339.1 ГК РФ) — без неё залог не защищает от добросовестного покупателя (ст. 352 ГК РФ).</w:t>
      </w:r>
    </w:p>
    <w:p>
      <w:r>
        <w:rPr>
          <w:i/>
          <w:iCs/>
          <w:sz w:val="18"/>
          <w:szCs w:val="18"/>
        </w:rPr>
        <w:t xml:space="preserve">Самостоятельное изъятие ТС без суда/нотариуса — самоуправство (ст. 330 УК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незарегистрированный залог (дубликат ПТС и продажа).</w:t>
      </w:r>
    </w:p>
    <w:p>
      <w:r>
        <w:rPr>
          <w:i/>
          <w:iCs/>
        </w:rPr>
        <w:t xml:space="preserve">• Бояться: отсутствие КАСКО.</w:t>
      </w:r>
    </w:p>
    <w:p>
      <w:r>
        <w:rPr>
          <w:i/>
          <w:iCs/>
        </w:rPr>
        <w:t xml:space="preserve">• Бояться: самоуправное изъятие.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ТС (если передаётся Залогодержателю)</w:t>
      </w:r>
    </w:p>
    <w:p>
      <w:r>
        <w:t xml:space="preserve">2. Приложение № 2 — Отчёт об оценке (при наличии)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2026-08-20T08:04:44.999Z</dcterms:created>
  <dcterms:modified xsi:type="dcterms:W3CDTF">2026-08-20T08:04:44.999Z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