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договора ГПХ трудовым и взыскании зарплаты (для физлиц и самозанятых)</w:t>
      </w:r>
    </w:p>
    <w:p>
      <w:r>
        <w:t xml:space="preserve">«___» ________ 20__ г. я фактически приступил(а) к работе в интересах Ответчика по должности [название] с окладом [сумма] руб. в месяц.</w:t>
      </w:r>
    </w:p>
    <w:p>
      <w:r>
        <w:t xml:space="preserve">Вместо трудового договора Ответчик навязал заключение договора ГПХ / договора с самозанятым.</w:t>
      </w:r>
    </w:p>
    <w:p>
      <w:r>
        <w:t xml:space="preserve">Фактически сложились трудовые отношения: я подчинялся правилам внутреннего распорядка, работал на территории Ответчика, использовал его оборудование, получал фиксированные выплаты 2 раза в месяц, не имел права привлекать субподрядчиков.</w:t>
      </w:r>
    </w:p>
    <w:p>
      <w:r>
        <w:t xml:space="preserve">Ответчик уклоняется от оформления трудовых отношений и выплаты гарантий (отпуск, больничные).</w:t>
      </w:r>
    </w:p>
    <w:p/>
    <w:p>
      <w:r>
        <w:t xml:space="preserve">На основании изложенного, руководствуясь ст. 15, 19.1, 56 ТК РФ, практика ВС РФ по отграничению трудовых отношений от гражданско-правовых,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отношения трудовыми с «___» ________ 20__ г.</w:t>
      </w:r>
    </w:p>
    <w:p>
      <w:r>
        <w:t xml:space="preserve">2. Обязать Ответчика оформить трудовую книжку и договор.</w:t>
      </w:r>
    </w:p>
    <w:p>
      <w:r>
        <w:t xml:space="preserve">3. Взыскать задолженность по отпускным и больничным — [сумма] руб.</w:t>
      </w:r>
    </w:p>
    <w:p>
      <w:r>
        <w:t xml:space="preserve">4. Взыскать компенсацию за задержку выплат (ст. 236 ТК РФ).</w:t>
      </w:r>
    </w:p>
    <w:p>
      <w:r>
        <w:t xml:space="preserve">5. Взыскать моральный вред и расходы на представителя.</w:t>
      </w:r>
    </w:p>
    <w:p/>
    <w:p>
      <w:r>
        <w:t xml:space="preserve">Приложения:</w:t>
      </w:r>
    </w:p>
    <w:p>
      <w:r>
        <w:t xml:space="preserve">1. договор ГПХ / переписка о найме</w:t>
      </w:r>
    </w:p>
    <w:p>
      <w:r>
        <w:t xml:space="preserve">2. пропуска, бейджи, спецодежда</w:t>
      </w:r>
    </w:p>
    <w:p>
      <w:r>
        <w:t xml:space="preserve">3. выписки по счёту (регулярность выплат)</w:t>
      </w:r>
    </w:p>
    <w:p>
      <w:r>
        <w:t xml:space="preserve">4. показания свидетелей (коллег)</w:t>
      </w:r>
    </w:p>
    <w:p>
      <w:r>
        <w:t xml:space="preserve">5. жалоба в ГИТ и ответ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Заключение договора ГПХ вместо трудового запрещено (ч. 2 ст. 15 ТК РФ).</w:t>
      </w:r>
    </w:p>
    <w:p>
      <w:r>
        <w:rPr>
          <w:i/>
          <w:iCs/>
          <w:sz w:val="18"/>
          <w:szCs w:val="18"/>
        </w:rPr>
        <w:t xml:space="preserve">• Пленум ВС РФ № 15 (2024 г.) дал чёткие критерии: регулярность выплат, подчинение графику, обеспечение условий — это труд, а не услуга.</w:t>
      </w:r>
    </w:p>
    <w:p>
      <w:r>
        <w:rPr>
          <w:i/>
          <w:iCs/>
          <w:sz w:val="18"/>
          <w:szCs w:val="18"/>
        </w:rPr>
        <w:t xml:space="preserve">• Подсудность: по выбору работника (ст. 29 ГПК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Сроки: по зарплате — 1 год; по признанию отношений трудовыми — 3 месяца (ст. 392 ТК РФ).</w:t>
      </w:r>
    </w:p>
    <w:p>
      <w:r>
        <w:rPr>
          <w:i/>
          <w:iCs/>
          <w:sz w:val="18"/>
          <w:szCs w:val="18"/>
        </w:rPr>
        <w:t xml:space="preserve">• Связанные документы: [gph-kurer-taksist-trudovye]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2026-08-17T06:35:51.437Z</dcterms:created>
  <dcterms:modified xsi:type="dcterms:W3CDTF">2026-08-17T06:35:51.437Z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