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установлении адреса и надлежащем извещении супруга по делу о разводе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вместе с иском или после его принятия, если истец добросовестно сообщил последний известный адрес, но самостоятельно получить актуальные адресные сведения не может.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 — если присвоен]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дата рождения, последнее известное место жительства]</w:t>
      </w:r>
    </w:p>
    <w:p>
      <w:pPr>
        <w:pStyle w:val="Heading1"/>
      </w:pPr>
      <w:r>
        <w:t>ХОДАТАЙСТВО ОБ ИСТРЕБОВАНИИ АДРЕСНЫХ СВЕДЕНИЙ И НАДЛЕЖАЩЕМ ИЗВЕЩЕНИИ ОТВЕТЧИКА</w:t>
      </w:r>
    </w:p>
    <w:p>
      <w:r>
        <w:t>Актуальное место жительства ответчика мне неизвестно с [дата]. Последний известный адрес: [адрес]. Самостоятельно получить сведения из регистрационного учёта я не могу. Известны идентификаторы: [дата рождения, паспорт, СНИЛС — только если законно имеются].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Запросить в уполномоченных органах сведения о регистрации ответчика по месту жительства и пребывания.</w:t>
      </w:r>
    </w:p>
    <w:p>
      <w:pPr>
        <w:pStyle w:val="ListNumber"/>
        <w:numPr>
          <w:ilvl w:val="0"/>
          <w:numId w:val="10"/>
        </w:numPr>
      </w:pPr>
      <w:r>
        <w:t>Направить судебные извещения по выявленным адресам и по последнему известному адресу.</w:t>
      </w:r>
    </w:p>
    <w:p>
      <w:pPr>
        <w:pStyle w:val="ListNumber"/>
        <w:numPr>
          <w:ilvl w:val="0"/>
          <w:numId w:val="10"/>
        </w:numPr>
      </w:pPr>
      <w:r>
        <w:t>При подтверждённой неизвестности места жительства рассмотреть вопрос о назначении представителя ответчика в предусмотренном законом порядке.</w:t>
      </w:r>
    </w:p>
    <w:p>
      <w:pPr>
        <w:pStyle w:val="ListNumber"/>
        <w:numPr>
          <w:ilvl w:val="0"/>
          <w:numId w:val="10"/>
        </w:numPr>
      </w:pPr>
      <w:r>
        <w:t>Приобщить документы о предпринятых истцом попытках установить адрес.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Ходатайство не заменяет обязательное указание последнего известного адреса в иске и не является заявлением о признании супруга безвестно отсутствующим.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иска;</w:t>
      </w:r>
    </w:p>
    <w:p>
      <w:pPr>
        <w:pStyle w:val="ListBullet"/>
        <w:numPr>
          <w:ilvl w:val="0"/>
          <w:numId w:val="11"/>
        </w:numPr>
      </w:pPr>
      <w:r>
        <w:t>возвратившаяся корреспонденция;</w:t>
      </w:r>
    </w:p>
    <w:p>
      <w:pPr>
        <w:pStyle w:val="ListBullet"/>
        <w:numPr>
          <w:ilvl w:val="0"/>
          <w:numId w:val="11"/>
        </w:numPr>
      </w:pPr>
      <w:r>
        <w:t>ответы на обращения;</w:t>
      </w:r>
    </w:p>
    <w:p>
      <w:pPr>
        <w:pStyle w:val="ListBullet"/>
        <w:numPr>
          <w:ilvl w:val="0"/>
          <w:numId w:val="11"/>
        </w:numPr>
      </w:pPr>
      <w:r>
        <w:t>известные документы с адресом;</w:t>
      </w:r>
    </w:p>
    <w:p>
      <w:pPr>
        <w:pStyle w:val="ListBullet"/>
        <w:numPr>
          <w:ilvl w:val="0"/>
          <w:numId w:val="11"/>
        </w:numPr>
      </w:pPr>
      <w:r>
        <w:t>доказательства последнего места жительства или имущества.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29, 50, 56, 57 и 113–119 ГПК РФ; нормы регистрационного учёта граждан — в части сведений, которые суд вправе запросить у уполномоченных органов.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