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автотехнической экспертизе скрытых дефектов или качества ремонта</w:t>
      </w:r>
    </w:p>
    <w:p>
      <w:pPr>
        <w:pStyle w:val="SmallNote"/>
      </w:pPr>
      <w:r>
        <w:t>Категория: Заявления  •  Статья сайта: №251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гражданском деле по статье №250 или №251, если для разграничения прежнего дефекта, неправильной эксплуатации и недостатка ремонта нужны специальные знания.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[сторона]: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[данные]</w:t>
      </w:r>
    </w:p>
    <w:p>
      <w:pPr>
        <w:pStyle w:val="Heading1"/>
      </w:pPr>
      <w:r>
        <w:t>ХОДАТАЙСТВО О НАЗНАЧЕНИИ СУДЕБНОЙ АВТОТЕХНИЧЕСКОЙ ЭКСПЕРТИЗЫ</w:t>
      </w:r>
    </w:p>
    <w:p>
      <w:pPr>
        <w:pStyle w:val="Heading2"/>
      </w:pPr>
      <w:r>
        <w:t>ОБСТОЯТЕЛЬСТВА</w:t>
      </w:r>
    </w:p>
    <w:p>
      <w:r>
        <w:t>Спор относится к [скрытым недостаткам проданного автомобиля / качеству ремонта]. Стороны расходятся в [момент возникновения, причина, возможность обнаружения, объём исправления]. Объект и документы находятся [где].</w:t>
      </w:r>
    </w:p>
    <w:p>
      <w:pPr>
        <w:pStyle w:val="Heading2"/>
      </w:pPr>
      <w:r>
        <w:t>ОБОСНОВАНИЕ</w:t>
      </w:r>
    </w:p>
    <w:p>
      <w:r>
        <w:t>Для исследования технического состояния, причин и стоимости нужны специальные знания. Юридическую квалификацию договора, вину и распределение бремени доказывания определяет суд.</w:t>
      </w:r>
    </w:p>
    <w:p>
      <w:pPr>
        <w:pStyle w:val="Heading2"/>
      </w:pPr>
      <w:r>
        <w:t>ВОПРОСЫ ЭКСПЕРТУ</w:t>
      </w:r>
    </w:p>
    <w:p>
      <w:pPr>
        <w:pStyle w:val="ListNumber"/>
        <w:numPr>
          <w:ilvl w:val="0"/>
          <w:numId w:val="10"/>
        </w:numPr>
      </w:pPr>
      <w:r>
        <w:t>Какие неисправности имеются у автомобиля [VIN], каковы их технические причины и взаимосвязь?</w:t>
      </w:r>
    </w:p>
    <w:p>
      <w:pPr>
        <w:pStyle w:val="ListNumber"/>
        <w:numPr>
          <w:ilvl w:val="0"/>
          <w:numId w:val="10"/>
        </w:numPr>
      </w:pPr>
      <w:r>
        <w:t>Для спора о продаже: существовали ли выявленные причины до передачи автомобиля либо обусловлены последующей эксплуатацией; могли ли они быть обнаружены при обычном осмотре без специальных средств?</w:t>
      </w:r>
    </w:p>
    <w:p>
      <w:pPr>
        <w:pStyle w:val="ListNumber"/>
        <w:numPr>
          <w:ilvl w:val="0"/>
          <w:numId w:val="10"/>
        </w:numPr>
      </w:pPr>
      <w:r>
        <w:t>Для спора о ремонте: соответствовали ли выполненные работы заказ-наряду, технологии изготовителя и обычным требованиям; находятся ли недостатки в причинной связи с работами ответчика?</w:t>
      </w:r>
    </w:p>
    <w:p>
      <w:pPr>
        <w:pStyle w:val="ListNumber"/>
        <w:numPr>
          <w:ilvl w:val="0"/>
          <w:numId w:val="10"/>
        </w:numPr>
      </w:pPr>
      <w:r>
        <w:t>Какой объём работ и деталей технически необходим для устранения установленных недостатков и какова их рыночная стоимость на [дата/регион]?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Назначить экспертизу в [организация / на усмотрение суда].</w:t>
      </w:r>
    </w:p>
    <w:p>
      <w:pPr>
        <w:pStyle w:val="ListNumber"/>
        <w:numPr>
          <w:ilvl w:val="0"/>
          <w:numId w:val="10"/>
        </w:numPr>
      </w:pPr>
      <w:r>
        <w:t>Предоставить эксперту автомобиль, диагностические данные, снятые детали, историю обслуживания, договор и заказ-наряды; обеспечить осмотр с извещением сторон.</w:t>
      </w:r>
    </w:p>
    <w:p>
      <w:pPr>
        <w:pStyle w:val="ListNumber"/>
        <w:numPr>
          <w:ilvl w:val="0"/>
          <w:numId w:val="10"/>
        </w:numPr>
      </w:pPr>
      <w:r>
        <w:t>Определить предварительную оплату и срок внесения средств на депозит суда.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Перед подачей удалите вопросы, не относящиеся к вашему спору. Эксперт не отвечает на вопрос «нарушил ли ответчик закон».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ходатайства;</w:t>
      </w:r>
    </w:p>
    <w:p>
      <w:pPr>
        <w:pStyle w:val="ListBullet"/>
        <w:numPr>
          <w:ilvl w:val="0"/>
          <w:numId w:val="11"/>
        </w:numPr>
      </w:pPr>
      <w:r>
        <w:t>договор купли-продажи / заказ-наряд;</w:t>
      </w:r>
    </w:p>
    <w:p>
      <w:pPr>
        <w:pStyle w:val="ListBullet"/>
        <w:numPr>
          <w:ilvl w:val="0"/>
          <w:numId w:val="11"/>
        </w:numPr>
      </w:pPr>
      <w:r>
        <w:t>акты, диагностика и история обслуживания;</w:t>
      </w:r>
    </w:p>
    <w:p>
      <w:pPr>
        <w:pStyle w:val="ListBullet"/>
        <w:numPr>
          <w:ilvl w:val="0"/>
          <w:numId w:val="11"/>
        </w:numPr>
      </w:pPr>
      <w:r>
        <w:t>фото, видео и электронные данные автомобиля;</w:t>
      </w:r>
    </w:p>
    <w:p>
      <w:pPr>
        <w:pStyle w:val="ListBullet"/>
        <w:numPr>
          <w:ilvl w:val="0"/>
          <w:numId w:val="11"/>
        </w:numPr>
      </w:pPr>
      <w:r>
        <w:t>сведения о снятых деталях;</w:t>
      </w:r>
    </w:p>
    <w:p>
      <w:pPr>
        <w:pStyle w:val="ListBullet"/>
        <w:numPr>
          <w:ilvl w:val="0"/>
          <w:numId w:val="11"/>
        </w:numPr>
      </w:pPr>
      <w:r>
        <w:t>предложение экспертного учреждения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82, 85–87, 94 и 96 ГПК РФ; Федеральный закон № 73-ФЗ.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