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Ходатайство о назначении автотехнической экспертизы по механизму контакта и возможности его восприятия водителем</w:t>
      </w:r>
    </w:p>
    <w:p>
      <w:pPr>
        <w:jc w:val="center"/>
      </w:pPr>
      <w:r>
        <w:rPr>
          <w:b/>
        </w:rPr>
        <w:t>Категория: Заявления  •  Статья сайта: №441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[мировому судье / органу, рассматривающему дело]</w:t>
      </w:r>
    </w:p>
    <w:p>
      <w:r>
        <w:t>От лица, в отношении которого ведётся производство: [ФИО, адрес, контакты]</w:t>
      </w:r>
    </w:p>
    <w:p>
      <w:r>
        <w:t>Дело: [номер]</w:t>
      </w:r>
    </w:p>
    <w:p>
      <w:pPr>
        <w:jc w:val="center"/>
      </w:pPr>
      <w:r>
        <w:rPr>
          <w:b/>
        </w:rPr>
        <w:t>ХОДАТАЙСТВО О НАЗНАЧЕНИИ ЭКСПЕРТИЗЫ</w:t>
      </w:r>
    </w:p>
    <w:p>
      <w:r>
        <w:t>По делу о ч. 2 ст. 12.27 КоАП РФ спорным является механизм контакта и объективная возможность водителя воспринять его в конкретных условиях. Для разрешения технических вопросов требуются специальные знания. Автомобиль [сохранён / состояние зафиксировано], имеются [фото, схема, видео, повреждения].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Назначить автотехническую / трасологическую экспертизу в компетентном экспертном учреждении.</w:t>
      </w:r>
    </w:p>
    <w:p>
      <w:pPr>
        <w:pStyle w:val="ListNumber"/>
        <w:spacing w:after="40"/>
      </w:pPr>
      <w:r>
        <w:t>Поставить перед экспертом вопросы: мог ли контакт образовать выявленные повреждения; каковы вероятные направление и интенсивность воздействия; могли ли технические и дорожные условия объективно повлиять на восприятие контакта водителем.</w:t>
      </w:r>
    </w:p>
    <w:p>
      <w:pPr>
        <w:pStyle w:val="ListNumber"/>
        <w:spacing w:after="40"/>
      </w:pPr>
      <w:r>
        <w:t>Предоставить сторонам возможность предложить вопросы, заявить отвод эксперту и ознакомиться с определением до направления материалов на исследование.</w:t>
      </w:r>
    </w:p>
    <w:p>
      <w:pPr>
        <w:pStyle w:val="ListNumber"/>
        <w:spacing w:after="40"/>
      </w:pPr>
      <w:r>
        <w:t>Приобщить заключение к материалам дела и исследовать его в заседании.</w:t>
      </w:r>
    </w:p>
    <w:p>
      <w:pPr>
        <w:spacing w:before="100" w:after="40"/>
      </w:pPr>
      <w:r>
        <w:rPr>
          <w:b/>
        </w:rPr>
        <w:t>Важно</w:t>
      </w:r>
    </w:p>
    <w:p>
      <w:r>
        <w:t>Эксперт не должен отвечать на юридический вопрос «был ли умысел». Ему ставят технические вопросы о механизме и объективной возможности восприятия; умысел оценивает суд.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фотографии и осмотр автомобилей;</w:t>
      </w:r>
    </w:p>
    <w:p>
      <w:pPr>
        <w:pStyle w:val="ListBullet"/>
        <w:spacing w:after="40"/>
      </w:pPr>
      <w:r>
        <w:t>схема ДТП;</w:t>
      </w:r>
    </w:p>
    <w:p>
      <w:pPr>
        <w:pStyle w:val="ListBullet"/>
        <w:spacing w:after="40"/>
      </w:pPr>
      <w:r>
        <w:t>видеозаписи;</w:t>
      </w:r>
    </w:p>
    <w:p>
      <w:pPr>
        <w:pStyle w:val="ListBullet"/>
        <w:spacing w:after="40"/>
      </w:pPr>
      <w:r>
        <w:t>сведения о дорожных условиях, шуме, обзоре;</w:t>
      </w:r>
    </w:p>
    <w:p>
      <w:pPr>
        <w:pStyle w:val="ListBullet"/>
        <w:spacing w:after="40"/>
      </w:pPr>
      <w:r>
        <w:t>заключение специалиста — если имеется.</w:t>
      </w:r>
    </w:p>
    <w:p>
      <w:r>
        <w:rPr>
          <w:b/>
        </w:rPr>
        <w:t xml:space="preserve">Правовая основа. </w:t>
      </w:r>
      <w:r>
        <w:t>статьи 24.4 и 26.4 КоАП РФ.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