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приобщении и истребовании доказательств ДТП с велосипедистом или пользователем СИМ</w:t>
      </w:r>
    </w:p>
    <w:p>
      <w:pPr>
        <w:pStyle w:val="SmallNote"/>
      </w:pPr>
      <w:r>
        <w:t>Категория: Заявления  •  Статья сайта: №255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административном материале или деле после ДТП с велосипедом либо средством индивидуальной мобильности. Подаёт участник, потерпевший, привлекаемое лицо или представитель с учётом своего процессуального статуса.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[подразделение Госавтоинспекции / суд]</w:t>
      </w:r>
    </w:p>
    <w:p>
      <w:pPr>
        <w:spacing w:after="40"/>
        <w:jc w:val="left"/>
      </w:pPr>
      <w:r>
        <w:rPr>
          <w:color w:val="14213D"/>
          <w:sz w:val="20"/>
        </w:rPr>
        <w:t>По материалу /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От: [ФИО, статус, адрес, телефон, e-mail]</w:t>
      </w:r>
    </w:p>
    <w:p>
      <w:pPr>
        <w:pStyle w:val="Heading1"/>
      </w:pPr>
      <w:r>
        <w:t>ХОДАТАЙСТВО ОБ ИСТРЕБОВАНИИ И ПРИОБЩЕНИИ ДОКАЗАТЕЛЬСТВ</w:t>
      </w:r>
    </w:p>
    <w:p>
      <w:pPr>
        <w:pStyle w:val="Heading2"/>
      </w:pPr>
      <w:r>
        <w:t>ОБСТОЯТЕЛЬСТВА</w:t>
      </w:r>
    </w:p>
    <w:p>
      <w:r>
        <w:t>[Дата, время] по адресу [место] произошло столкновение [автомобиль] и [велосипед / СИМ]. Спорными являются [траектория, сигнал светофора, уступил ли участник, скорость, место перехода/переезда, видимость].</w:t>
      </w:r>
    </w:p>
    <w:p>
      <w:r>
        <w:t>Камеры и иные источники: [адреса, владельцы, номера транспорта/проката]. Сведения могут быть утрачены после истечения срока хранения.</w:t>
      </w:r>
    </w:p>
    <w:p>
      <w:pPr>
        <w:pStyle w:val="Heading2"/>
      </w:pPr>
      <w:r>
        <w:t>ПРАВОВЫЕ ОСНОВАНИЯ</w:t>
      </w:r>
    </w:p>
    <w:p>
      <w:r>
        <w:t>Лица, участвующие в деле, вправе заявлять ходатайства и представлять доказательства. Орган или суд оценивает относимость и допустимость, а недоступные участнику сведения может истребовать в установленном порядке.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Незамедлительно направить запросы о сохранении и выдаче записей с перечисленных камер за период [время].</w:t>
      </w:r>
    </w:p>
    <w:p>
      <w:pPr>
        <w:pStyle w:val="ListNumber"/>
        <w:numPr>
          <w:ilvl w:val="0"/>
          <w:numId w:val="10"/>
        </w:numPr>
      </w:pPr>
      <w:r>
        <w:t>Истребовать схему организации движения, режим светофора, сведения о знаках и разметке на дату ДТП.</w:t>
      </w:r>
    </w:p>
    <w:p>
      <w:pPr>
        <w:pStyle w:val="ListNumber"/>
        <w:numPr>
          <w:ilvl w:val="0"/>
          <w:numId w:val="10"/>
        </w:numPr>
      </w:pPr>
      <w:r>
        <w:t>Приобщить мои фото, видео, запись регистратора, контакты свидетелей и письменные объяснения.</w:t>
      </w:r>
    </w:p>
    <w:p>
      <w:pPr>
        <w:pStyle w:val="ListNumber"/>
        <w:numPr>
          <w:ilvl w:val="0"/>
          <w:numId w:val="10"/>
        </w:numPr>
      </w:pPr>
      <w:r>
        <w:t>Осмотреть место и транспортные средства, зафиксировать повреждения, следы, обзорность и координаты существенных объектов.</w:t>
      </w:r>
    </w:p>
    <w:p>
      <w:pPr>
        <w:pStyle w:val="ListNumber"/>
        <w:numPr>
          <w:ilvl w:val="0"/>
          <w:numId w:val="10"/>
        </w:numPr>
      </w:pPr>
      <w:r>
        <w:t>Разрешить ходатайство письменно; предоставить доступ к материалам и копии документов в объёме, допустимом для моего статуса.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орган заранее признать конкретного участника виновным. В уголовном производстве используется отдельное ходатайство по УПК РФ, а не этот шаблон.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 и видео на электронном носителе с описью;</w:t>
      </w:r>
    </w:p>
    <w:p>
      <w:pPr>
        <w:pStyle w:val="ListBullet"/>
        <w:numPr>
          <w:ilvl w:val="0"/>
          <w:numId w:val="11"/>
        </w:numPr>
      </w:pPr>
      <w:r>
        <w:t>схема места и перечень камер;</w:t>
      </w:r>
    </w:p>
    <w:p>
      <w:pPr>
        <w:pStyle w:val="ListBullet"/>
        <w:numPr>
          <w:ilvl w:val="0"/>
          <w:numId w:val="11"/>
        </w:numPr>
      </w:pPr>
      <w:r>
        <w:t>контакты свидетелей;</w:t>
      </w:r>
    </w:p>
    <w:p>
      <w:pPr>
        <w:pStyle w:val="ListBullet"/>
        <w:numPr>
          <w:ilvl w:val="0"/>
          <w:numId w:val="11"/>
        </w:numPr>
      </w:pPr>
      <w:r>
        <w:t>копии документов участника и полномочий представителя;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ходатайства.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24.4, 25.1, 25.2, 25.5, 26.2, 26.7 и 26.10 КоАП РФ; пункты 1.2, 8.1, 8.3, 13.1 и раздел 24 ПДД РФ — в применимой части.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