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об истребовании банковских выписок при разделе имущества супругов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№323</w:t>
      </w:r>
    </w:p>
    <w:p>
      <w:pPr>
        <w:spacing w:after="160"/>
      </w:pPr>
      <w:r>
        <w:rPr>
          <w:b/>
          <w:color w:val="676767"/>
          <w:sz w:val="19"/>
        </w:rPr>
        <w:t>Структура: ХОДАТАЙСТВО ПО ГПК РФ: вводная • относимость доказательств • невозможность получить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 уже возбужденном гражданском деле, когда точные сведения о счетах и операциях другого супруга получить самостоятельно невозможно. Нужно назвать банк, период и факты, которые подтвердит каждый запрос.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[наименование]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</w:t>
      </w:r>
    </w:p>
    <w:p>
      <w:pPr>
        <w:spacing w:after="40"/>
        <w:jc w:val="left"/>
      </w:pPr>
      <w:r>
        <w:rPr>
          <w:color w:val="14213D"/>
          <w:sz w:val="20"/>
        </w:rPr>
        <w:t>Заявитель: [истец / ответчик, ФИО, адрес]</w:t>
      </w:r>
    </w:p>
    <w:p>
      <w:pPr>
        <w:spacing w:after="40"/>
        <w:jc w:val="left"/>
      </w:pPr>
      <w:r>
        <w:rPr>
          <w:color w:val="14213D"/>
          <w:sz w:val="20"/>
        </w:rPr>
        <w:t>Другой супруг: [ФИО]</w:t>
      </w:r>
    </w:p>
    <w:p>
      <w:pPr>
        <w:pStyle w:val="Heading1"/>
      </w:pPr>
      <w:r>
        <w:t>ХОДАТАЙСТВО ОБ ИСТРЕБОВАНИИ ДОКАЗАТЕЛЬСТВ</w:t>
      </w:r>
    </w:p>
    <w:p>
      <w:r>
        <w:t>В деле рассматривается раздел общего имущества. По имеющимся документам у [ФИО] открыт счёт / вклад / брокерский счёт в [банк, известные реквизиты]. В период [даты] совершены операции [что известно], имеющие значение для определения состава и стоимости общего имущества.</w:t>
      </w:r>
    </w:p>
    <w:p>
      <w:r>
        <w:t>Самостоятельно получить сведения невозможно из-за банковской тайны. Запрошенные данные подтвердят: [остаток на значимую дату, поступления общих доходов, снятие/перевод, получателя, приобретённый актив]. Период ограничен обстоятельствами спора.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Истребовать у [банк] сведения о счетах, вкладах и иных продуктах, открытых на имя [ФИО, дата рождения, паспорт/ИНН — если известны], за период [даты].</w:t>
      </w:r>
    </w:p>
    <w:p>
      <w:pPr>
        <w:pStyle w:val="ListNumber"/>
        <w:numPr>
          <w:ilvl w:val="0"/>
          <w:numId w:val="10"/>
        </w:numPr>
      </w:pPr>
      <w:r>
        <w:t>Истребовать выписки об остатках и операциях с указанием дат, сумм, назначения и реквизитов получателей в объёме, относящемся к спору.</w:t>
      </w:r>
    </w:p>
    <w:p>
      <w:pPr>
        <w:pStyle w:val="ListNumber"/>
        <w:numPr>
          <w:ilvl w:val="0"/>
          <w:numId w:val="10"/>
        </w:numPr>
      </w:pPr>
      <w:r>
        <w:t>Истребовать документы по конкретным операциям [перечень], если они необходимы для установления семейной цели расхода.</w:t>
      </w:r>
    </w:p>
    <w:p>
      <w:pPr>
        <w:pStyle w:val="ListNumber"/>
        <w:numPr>
          <w:ilvl w:val="0"/>
          <w:numId w:val="10"/>
        </w:numPr>
      </w:pPr>
      <w:r>
        <w:t>Приобщить ответы к делу и предоставить сторонам возможность ознакомиться с ними с соблюдением режима охраняемой законом тайны.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Запрос «обо всех операциях за всю жизнь» суд может счесть несоразмерным. Свяжите каждый банк, период и сведения с конкретным предметом доказывания.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существования счёта или операции;</w:t>
      </w:r>
    </w:p>
    <w:p>
      <w:pPr>
        <w:pStyle w:val="ListBullet"/>
        <w:numPr>
          <w:ilvl w:val="0"/>
          <w:numId w:val="11"/>
        </w:numPr>
      </w:pPr>
      <w:r>
        <w:t>выписки по доступным счетам;</w:t>
      </w:r>
    </w:p>
    <w:p>
      <w:pPr>
        <w:pStyle w:val="ListBullet"/>
        <w:numPr>
          <w:ilvl w:val="0"/>
          <w:numId w:val="11"/>
        </w:numPr>
      </w:pPr>
      <w:r>
        <w:t>копии самостоятельных запросов и отказов — при наличии;</w:t>
      </w:r>
    </w:p>
    <w:p>
      <w:pPr>
        <w:pStyle w:val="ListBullet"/>
        <w:numPr>
          <w:ilvl w:val="0"/>
          <w:numId w:val="11"/>
        </w:numPr>
      </w:pPr>
      <w:r>
        <w:t>таблица спорных операций;</w:t>
      </w:r>
    </w:p>
    <w:p>
      <w:pPr>
        <w:pStyle w:val="ListBullet"/>
        <w:numPr>
          <w:ilvl w:val="0"/>
          <w:numId w:val="11"/>
        </w:numPr>
      </w:pPr>
      <w:r>
        <w:t>расчёт требований;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ходатайства участникам.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34–39 СК РФ; статьи 56–57 ГПК РФ; статья 26 Федерального закона № 395-1.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