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 комплексной экспертизе топлива и причин поломки автомобиля</w:t>
      </w:r>
    </w:p>
    <w:p>
      <w:pPr>
        <w:pStyle w:val="SmallNote"/>
      </w:pPr>
      <w:r>
        <w:t>Категория: Заявления  •  Статья сайта: №252</w:t>
      </w:r>
    </w:p>
    <w:p>
      <w:pPr>
        <w:pStyle w:val="SmallNote"/>
      </w:pPr>
      <w:r>
        <w:rPr>
          <w:color w:val="676767"/>
        </w:rPr>
        <w:t>Структура: ХОДАТАЙСТВО: суд/орган и дело • обстоятельства • обоснование • конкретные просьбы/вопросы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В возбуждённом гражданском деле, когда спорят о составе топлива, его соответствии требованиям, механизме повреждения и стоимости восстановления.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[суд]</w:t>
      </w:r>
    </w:p>
    <w:p>
      <w:pPr>
        <w:spacing w:after="40"/>
        <w:jc w:val="left"/>
      </w:pPr>
      <w:r>
        <w:rPr>
          <w:color w:val="14213D"/>
          <w:sz w:val="20"/>
        </w:rPr>
        <w:t>Дело № [номер] • судья [ФИО]</w:t>
      </w:r>
    </w:p>
    <w:p>
      <w:pPr>
        <w:spacing w:after="40"/>
        <w:jc w:val="left"/>
      </w:pPr>
      <w:r>
        <w:rPr>
          <w:color w:val="14213D"/>
          <w:sz w:val="20"/>
        </w:rPr>
        <w:t>От [истец/ответчик]: [данные]</w:t>
      </w:r>
    </w:p>
    <w:p>
      <w:pPr>
        <w:spacing w:after="40"/>
        <w:jc w:val="left"/>
      </w:pPr>
      <w:r>
        <w:rPr>
          <w:color w:val="14213D"/>
          <w:sz w:val="20"/>
        </w:rPr>
        <w:t>Другие лица: [данные]</w:t>
      </w:r>
    </w:p>
    <w:p>
      <w:pPr>
        <w:pStyle w:val="Heading1"/>
      </w:pPr>
      <w:r>
        <w:t>ХОДАТАЙСТВО О НАЗНАЧЕНИИ КОМПЛЕКСНОЙ ЭКСПЕРТИЗЫ</w:t>
      </w:r>
    </w:p>
    <w:p>
      <w:pPr>
        <w:pStyle w:val="Heading2"/>
      </w:pPr>
      <w:r>
        <w:t>ОБСТОЯТЕЛЬСТВА</w:t>
      </w:r>
    </w:p>
    <w:p>
      <w:r>
        <w:t>Стороны спорят о [состав пробы, принадлежность партии, причина неисправности, объём ремонта]. Представленные заключения расходятся в [чём]. Объекты исследования сохранены: [проба, детали, автомобиль, документы].</w:t>
      </w:r>
    </w:p>
    <w:p>
      <w:pPr>
        <w:pStyle w:val="Heading2"/>
      </w:pPr>
      <w:r>
        <w:t>ОБОСНОВАНИЕ</w:t>
      </w:r>
    </w:p>
    <w:p>
      <w:r>
        <w:t>Для исследования химических свойств топлива и технического механизма поломки нужны специальные знания. Правовую ответственность и оценку доказательств определяет суд.</w:t>
      </w:r>
    </w:p>
    <w:p>
      <w:pPr>
        <w:pStyle w:val="Heading2"/>
      </w:pPr>
      <w:r>
        <w:t>ВОПРОСЫ ЭКСПЕРТАМ</w:t>
      </w:r>
    </w:p>
    <w:p>
      <w:pPr>
        <w:pStyle w:val="ListNumber"/>
        <w:numPr>
          <w:ilvl w:val="0"/>
          <w:numId w:val="10"/>
        </w:numPr>
      </w:pPr>
      <w:r>
        <w:t>Каковы состав и показатели представленной пробы, соответствует ли она обозначенному виду топлива и обязательным требованиям на дату продажи?</w:t>
      </w:r>
    </w:p>
    <w:p>
      <w:pPr>
        <w:pStyle w:val="ListNumber"/>
        <w:numPr>
          <w:ilvl w:val="0"/>
          <w:numId w:val="10"/>
        </w:numPr>
      </w:pPr>
      <w:r>
        <w:t>Могли ли выявленные свойства/примеси при данных условиях эксплуатации вызвать обнаруженные неисправности? Каков технический механизм?</w:t>
      </w:r>
    </w:p>
    <w:p>
      <w:pPr>
        <w:pStyle w:val="ListNumber"/>
        <w:numPr>
          <w:ilvl w:val="0"/>
          <w:numId w:val="10"/>
        </w:numPr>
      </w:pPr>
      <w:r>
        <w:t>Имеются ли иные технические причины неисправности; какова их сравнительная вероятность по материалам и объектам исследования?</w:t>
      </w:r>
    </w:p>
    <w:p>
      <w:pPr>
        <w:pStyle w:val="ListNumber"/>
        <w:numPr>
          <w:ilvl w:val="0"/>
          <w:numId w:val="10"/>
        </w:numPr>
      </w:pPr>
      <w:r>
        <w:t>Какие работы и детали технически необходимы для устранения последствий и какова их рыночная стоимость на [дата/регион]?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Назначить комплексную химическую и автотехническую экспертизу в [учреждение / на усмотрение суда].</w:t>
      </w:r>
    </w:p>
    <w:p>
      <w:pPr>
        <w:pStyle w:val="ListNumber"/>
        <w:numPr>
          <w:ilvl w:val="0"/>
          <w:numId w:val="10"/>
        </w:numPr>
      </w:pPr>
      <w:r>
        <w:t>Передать экспертам перечисленные пробы, детали, документы о партии, диагностические данные и автомобиль; обеспечить осмотр с извещением сторон.</w:t>
      </w:r>
    </w:p>
    <w:p>
      <w:pPr>
        <w:pStyle w:val="ListNumber"/>
        <w:numPr>
          <w:ilvl w:val="0"/>
          <w:numId w:val="10"/>
        </w:numPr>
      </w:pPr>
      <w:r>
        <w:t>Определить предварительную оплату, срок и порядок внесения средств на депозит суда.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Суд не должен ставить перед экспертом вопрос «кто виноват». Для исследования нужна подтверждённая цепочка хранения пробы; при её нарушении эксперт отдельно оценивает пригодность объекта.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копии ходатайства участникам;</w:t>
      </w:r>
    </w:p>
    <w:p>
      <w:pPr>
        <w:pStyle w:val="ListBullet"/>
        <w:numPr>
          <w:ilvl w:val="0"/>
          <w:numId w:val="11"/>
        </w:numPr>
      </w:pPr>
      <w:r>
        <w:t>акты отбора, упаковки и хранения проб;</w:t>
      </w:r>
    </w:p>
    <w:p>
      <w:pPr>
        <w:pStyle w:val="ListBullet"/>
        <w:numPr>
          <w:ilvl w:val="0"/>
          <w:numId w:val="11"/>
        </w:numPr>
      </w:pPr>
      <w:r>
        <w:t>документы АЗС о партии;</w:t>
      </w:r>
    </w:p>
    <w:p>
      <w:pPr>
        <w:pStyle w:val="ListBullet"/>
        <w:numPr>
          <w:ilvl w:val="0"/>
          <w:numId w:val="11"/>
        </w:numPr>
      </w:pPr>
      <w:r>
        <w:t>диагностика и заказ-наряды;</w:t>
      </w:r>
    </w:p>
    <w:p>
      <w:pPr>
        <w:pStyle w:val="ListBullet"/>
        <w:numPr>
          <w:ilvl w:val="0"/>
          <w:numId w:val="11"/>
        </w:numPr>
      </w:pPr>
      <w:r>
        <w:t>фото, видео и электронные данные;</w:t>
      </w:r>
    </w:p>
    <w:p>
      <w:pPr>
        <w:pStyle w:val="ListBullet"/>
        <w:numPr>
          <w:ilvl w:val="0"/>
          <w:numId w:val="11"/>
        </w:numPr>
      </w:pPr>
      <w:r>
        <w:t>предложение экспертного учреждения — при наличии.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35, 56–57, 79–80, 82, 85–87, 94 и 96 ГПК РФ; Федеральный закон № 73-ФЗ; обязательные требования к соответствующему виду топлива.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№252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