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об обеспечении иска по делу о международном возвращении ребёнка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№329</w:t>
      </w:r>
    </w:p>
    <w:p>
      <w:pPr>
        <w:spacing w:after="160"/>
      </w:pPr>
      <w:r>
        <w:rPr>
          <w:b/>
          <w:color w:val="676767"/>
          <w:sz w:val="19"/>
        </w:rPr>
        <w:t>Структура: ХОДАТАЙСТВО ПО ГПК РФ: вводная • обстоятельства риска • соразмерность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вместе со специальным заявлением либо после возбуждения дела, если есть конкретный риск нового перемещения ребёнка, сокрытия адреса или выезда из России. Просимые меры должны быть соразмерными и не подменять итоговое решение.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[суд, рассматривающий дело]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 — если присвоен]</w:t>
      </w:r>
    </w:p>
    <w:p>
      <w:pPr>
        <w:spacing w:after="40"/>
        <w:jc w:val="left"/>
      </w:pPr>
      <w:r>
        <w:rPr>
          <w:color w:val="14213D"/>
          <w:sz w:val="20"/>
        </w:rPr>
        <w:t>Заявитель / истец: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Ответчик: [ФИО]</w:t>
      </w:r>
    </w:p>
    <w:p>
      <w:pPr>
        <w:spacing w:after="40"/>
        <w:jc w:val="left"/>
      </w:pPr>
      <w:r>
        <w:rPr>
          <w:color w:val="14213D"/>
          <w:sz w:val="20"/>
        </w:rPr>
        <w:t>Ребёнок: [ФИО, дата рождения]</w:t>
      </w:r>
    </w:p>
    <w:p>
      <w:pPr>
        <w:pStyle w:val="Heading1"/>
      </w:pPr>
      <w:r>
        <w:t>ХОДАТАЙСТВО ОБ ОБЕСПЕЧЕНИИ ИСКА</w:t>
      </w:r>
    </w:p>
    <w:p>
      <w:r>
        <w:t>В суд подано заявление о возвращении / осуществлении прав доступа в отношении ребёнка [ФИО] на основании [международный договор]. По имеющимся данным ответчик [покупает билеты / меняет место проживания / скрывает адрес / ранее перемещал ребёнка], что подтверждается [доказательства].</w:t>
      </w:r>
    </w:p>
    <w:p>
      <w:r>
        <w:t>Без временных мер исполнение будущего решения может быть существенно затруднено. Просьба ограничена сроком рассмотрения дела и связана с конкретным риском.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Запретить ответчику изменять место пребывания ребёнка без предварительного письменного уведомления суда и органа опеки.</w:t>
      </w:r>
    </w:p>
    <w:p>
      <w:pPr>
        <w:pStyle w:val="ListNumber"/>
        <w:numPr>
          <w:ilvl w:val="0"/>
          <w:numId w:val="10"/>
        </w:numPr>
      </w:pPr>
      <w:r>
        <w:t>Временно ограничить выезд ребёнка из Российской Федерации до вступления в законную силу решения по делу — если эта мера необходима и соразмерна.</w:t>
      </w:r>
    </w:p>
    <w:p>
      <w:pPr>
        <w:pStyle w:val="ListNumber"/>
        <w:numPr>
          <w:ilvl w:val="0"/>
          <w:numId w:val="10"/>
        </w:numPr>
      </w:pPr>
      <w:r>
        <w:t>Направить определение для исполнения в компетентные органы и выдать заявителю заверенную копию.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просите автоматически запретить перемещение ответчика как взрослого лица. Каждая мера должна относиться к ребёнку, подтверждённому риску и будущему исполнению решения.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основного заявления;</w:t>
      </w:r>
    </w:p>
    <w:p>
      <w:pPr>
        <w:pStyle w:val="ListBullet"/>
        <w:numPr>
          <w:ilvl w:val="0"/>
          <w:numId w:val="11"/>
        </w:numPr>
      </w:pPr>
      <w:r>
        <w:t>доказательства риска нового перемещения;</w:t>
      </w:r>
    </w:p>
    <w:p>
      <w:pPr>
        <w:pStyle w:val="ListBullet"/>
        <w:numPr>
          <w:ilvl w:val="0"/>
          <w:numId w:val="11"/>
        </w:numPr>
      </w:pPr>
      <w:r>
        <w:t>билеты, переписка, данные о смене адреса;</w:t>
      </w:r>
    </w:p>
    <w:p>
      <w:pPr>
        <w:pStyle w:val="ListBullet"/>
        <w:numPr>
          <w:ilvl w:val="0"/>
          <w:numId w:val="11"/>
        </w:numPr>
      </w:pPr>
      <w:r>
        <w:t>документы о ребёнке;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участникам — если требуются на стадии подачи.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244.13 и глава 13 ГПК РФ, включая статьи 139–141; применимый международный договор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№329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