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ХОДАТАЙСТВО О ПРИНЯТИИ ОБЕСПЕЧИТЕЛЬНЫХ МЕР ПО КОРПОРАТИВНОМУ СПОРУ</w:t>
      </w:r>
    </w:p>
    <w:p>
      <w:pPr>
        <w:jc w:val="center"/>
      </w:pPr>
      <w:r>
        <w:rPr>
          <w:i/>
        </w:rPr>
        <w:t>Статьи №351–352 • АПК РФ • адаптировать к предмету иска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85"/>
        <w:gridCol w:w="5386"/>
      </w:tblGrid>
      <w:tr>
        <w:tc>
          <w:tcPr>
            <w:tcW w:type="dxa" w:w="5071"/>
          </w:tcPr>
          <w:p/>
        </w:tc>
        <w:tc>
          <w:tcPr>
            <w:tcW w:type="dxa" w:w="5071"/>
          </w:tcPr>
          <w:p/>
          <w:p>
            <w:r>
              <w:rPr>
                <w:b/>
              </w:rPr>
              <w:t xml:space="preserve">В </w:t>
            </w:r>
            <w:r>
              <w:t>[наименование суда]</w:t>
            </w:r>
          </w:p>
          <w:p>
            <w:r>
              <w:rPr>
                <w:b/>
              </w:rPr>
              <w:t xml:space="preserve">Истец: </w:t>
            </w:r>
            <w:r>
              <w:t>[Ф.И.О./наименование, адрес, ИНН/идентификатор, контакты]</w:t>
            </w:r>
          </w:p>
          <w:p>
            <w:r>
              <w:rPr>
                <w:b/>
              </w:rPr>
              <w:t xml:space="preserve">Ответчик: </w:t>
            </w:r>
            <w:r>
              <w:t>[ответчик(и)]</w:t>
            </w:r>
          </w:p>
          <w:p>
            <w:r>
              <w:rPr>
                <w:b/>
              </w:rPr>
              <w:t xml:space="preserve">Дело №: </w:t>
            </w:r>
            <w:r>
              <w:t>[если уже возбуждено]</w:t>
            </w:r>
          </w:p>
          <w:p>
            <w:r>
              <w:rPr>
                <w:b/>
              </w:rPr>
              <w:t xml:space="preserve">Цена иска: </w:t>
            </w:r>
            <w:r>
              <w:t>[сумма / не подлежит оценке]</w:t>
            </w:r>
          </w:p>
          <w:p>
            <w:r>
              <w:rPr>
                <w:b/>
              </w:rPr>
              <w:t xml:space="preserve">Госпошлина: </w:t>
            </w:r>
            <w:r>
              <w:t>[см. раздел ниже]</w:t>
            </w:r>
          </w:p>
        </w:tc>
      </w:tr>
    </w:tbl>
    <w:p>
      <w:r>
        <w:t>Перед подачей заполните все поля в квадратных скобках и удалите неприменимые варианты. Если спор корпоративный, проверьте исключительную подсудность и состав участников дела; если трудовой — приложите доказательства направления копий и документы, связанные с работой.</w:t>
      </w:r>
    </w:p>
    <w:p>
      <w:pPr>
        <w:pStyle w:val="Heading1"/>
      </w:pPr>
      <w:r>
        <w:t>Связь обеспечительных мер с будущим/заявленным иском</w:t>
      </w:r>
    </w:p>
    <w:p>
      <w:r>
        <w:t>Заявитель предъявляет/намерен предъявить корпоративный иск о [№351: восстановлении прав на долю, оспаривании решения/сделки, исправлении ЕГРЮЛ] / [№352: оспаривании сделки с имуществом, возврате имущества, взыскании убытков]. После возникновения спора сохраняется реальный риск [повторной регистрации изменений / отчуждения доли / перепродажи спорного имущества / обременения актива], что может затруднить исполнение судебного акта.</w:t>
      </w:r>
    </w:p>
    <w:p>
      <w:pPr>
        <w:pStyle w:val="Heading1"/>
      </w:pPr>
      <w:r>
        <w:t>Доказательства риска</w:t>
      </w:r>
    </w:p>
    <w:p>
      <w:pPr>
        <w:pStyle w:val="ListBullet"/>
      </w:pPr>
      <w:r>
        <w:t>Выписка ЕГРЮЛ с недавними/последовательными изменениями — для №351.</w:t>
      </w:r>
    </w:p>
    <w:p>
      <w:pPr>
        <w:pStyle w:val="ListBullet"/>
      </w:pPr>
      <w:r>
        <w:t>Объявление о продаже, договор/проект следующей сделки, переписка, регистрационные действия — для №352.</w:t>
      </w:r>
    </w:p>
    <w:p>
      <w:pPr>
        <w:pStyle w:val="ListBullet"/>
      </w:pPr>
      <w:r>
        <w:t>Сведения об уже совершённых действиях после возникновения конфликта.</w:t>
      </w:r>
    </w:p>
    <w:p>
      <w:pPr>
        <w:pStyle w:val="ListBullet"/>
      </w:pPr>
      <w:r>
        <w:t>Документы, подтверждающие связь конкретной меры с предметом иска.</w:t>
      </w:r>
    </w:p>
    <w:p>
      <w:pPr>
        <w:pStyle w:val="Heading1"/>
      </w:pPr>
      <w:r>
        <w:t>Просимые меры — оставить только соразмерные</w:t>
      </w:r>
    </w:p>
    <w:p>
      <w:pPr>
        <w:pStyle w:val="ListBullet"/>
      </w:pPr>
      <w:r>
        <w:t>запретить регистрирующему органу вносить конкретные изменения в ЕГРЮЛ относительно [доля/участник/директор] до разрешения спора — №351;</w:t>
      </w:r>
    </w:p>
    <w:p>
      <w:pPr>
        <w:pStyle w:val="ListBullet"/>
      </w:pPr>
      <w:r>
        <w:t>запретить отчуждение/обременение конкретной доли [размер, владелец] — №351;</w:t>
      </w:r>
    </w:p>
    <w:p>
      <w:pPr>
        <w:pStyle w:val="ListBullet"/>
      </w:pPr>
      <w:r>
        <w:t>запретить ответчику/третьему лицу отчуждать или обременять конкретный объект [описание/кадастровый номер] — №352;</w:t>
      </w:r>
    </w:p>
    <w:p>
      <w:pPr>
        <w:pStyle w:val="ListBullet"/>
      </w:pPr>
      <w:r>
        <w:t>наложить арест на конкретный спорный актив в пределах предмета спора — если это необходимо и соразмерно;</w:t>
      </w:r>
    </w:p>
    <w:p>
      <w:pPr>
        <w:pStyle w:val="ListBullet"/>
      </w:pPr>
      <w:r>
        <w:t>иное точечное ограничение: [___].</w:t>
      </w:r>
    </w:p>
    <w:p>
      <w:r>
        <w:t>Не просите «запретить обществу совершать любые сделки» без связи с предметом спора. Чрезмерная мера, парализующая бизнес, может быть отклонена.</w:t>
      </w:r>
    </w:p>
    <w:p>
      <w:pPr>
        <w:pStyle w:val="Heading1"/>
      </w:pPr>
      <w:r>
        <w:t>Госпошлина</w:t>
      </w:r>
    </w:p>
    <w:p>
      <w:r>
        <w:t>За заявление об обеспечении иска в арбитражном процессе уплачивается государственная пошлина в размере, установленном подпунктом 17 пункта 1 статьи 333.21 НК РФ. На дату подготовки образца — 30 000 руб. Перед подачей ещё раз проверьте сумму в калькуляторе госпошлины на сайте и актуальную редакцию НК РФ.</w:t>
      </w:r>
    </w:p>
    <w:p>
      <w:pPr>
        <w:pStyle w:val="Heading1"/>
      </w:pPr>
      <w:r>
        <w:t>ПРОШУ СУД</w:t>
      </w:r>
    </w:p>
    <w:p>
      <w:pPr>
        <w:pStyle w:val="ListNumber"/>
      </w:pPr>
      <w:r>
        <w:t>принять обеспечительную меру: [точно сформулировать];</w:t>
      </w:r>
    </w:p>
    <w:p>
      <w:pPr>
        <w:pStyle w:val="ListNumber"/>
      </w:pPr>
      <w:r>
        <w:t>направить определение для исполнения в [ФНС/Росреестр/иное — если требуется].</w:t>
      </w:r>
    </w:p>
    <w:p>
      <w:pPr>
        <w:pStyle w:val="Heading1"/>
      </w:pPr>
      <w:r>
        <w:t>Приложения</w:t>
      </w:r>
    </w:p>
    <w:p>
      <w:pPr>
        <w:pStyle w:val="ListBullet"/>
      </w:pPr>
      <w:r>
        <w:t>Доказательства риска и связи меры с иском.</w:t>
      </w:r>
    </w:p>
    <w:p>
      <w:pPr>
        <w:pStyle w:val="ListBullet"/>
      </w:pPr>
      <w:r>
        <w:t>Копия иска/проект требований — если заявление до иска.</w:t>
      </w:r>
    </w:p>
    <w:p>
      <w:pPr>
        <w:pStyle w:val="ListBullet"/>
      </w:pPr>
      <w:r>
        <w:t>Документ об уплате госпошлины.</w:t>
      </w:r>
    </w:p>
    <w:p>
      <w:pPr>
        <w:pStyle w:val="ListBullet"/>
      </w:pPr>
      <w:r>
        <w:t>Иные документы.</w:t>
      </w:r>
    </w:p>
    <w:p>
      <w:r>
        <w:t>Дата: «___» __________ 20___ г.</w:t>
      </w:r>
    </w:p>
    <w:p>
      <w:r>
        <w:t>Заявитель: __________________ / [Ф.И.О.] /</w:t>
      </w:r>
    </w:p>
    <w:sectPr w:rsidR="00FC693F" w:rsidRPr="0006063C" w:rsidSect="00034616">
      <w:pgSz w:w="12240" w:h="15840"/>
      <w:pgMar w:top="1020" w:right="96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