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прекращении уголовного дела в связи с примирением сторон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№496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Подозреваемый, обвиняемый или его защитник просит прекратить дело при наличии всех условий: преступление небольшой или средней тяжести совершено впервые, стороны примирились, вред заглажен.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[орган дознания / следственный орган / суд]</w:t>
      </w:r>
    </w:p>
    <w:p>
      <w:pPr>
        <w:spacing w:after="40"/>
        <w:jc w:val="left"/>
      </w:pPr>
      <w:r>
        <w:rPr>
          <w:color w:val="14213D"/>
          <w:sz w:val="20"/>
        </w:rPr>
        <w:t>По уголовному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[подозреваемого / обвиняемого / защитника]: [ФИО, данные]</w:t>
      </w:r>
    </w:p>
    <w:p>
      <w:pPr>
        <w:pStyle w:val="Heading1"/>
      </w:pPr>
      <w:r>
        <w:t>ХОДАТАЙСТВО О ПРЕКРАЩЕНИИ УГОЛОВНОГО ДЕЛА В СВЯЗИ С ПРИМИРЕНИЕМ СТОРОН</w:t>
      </w:r>
    </w:p>
    <w:p>
      <w:r>
        <w:t>Мне вменяется [пункт, часть, статья УК РФ]. Преступление относится к категории [небольшой / средней] тяжести. Ранее преступлений я не совершал(а) в смысле условий применения статьи 76 УК РФ: [указать сведения].</w:t>
      </w:r>
    </w:p>
    <w:p>
      <w:r>
        <w:t>С потерпевшим [ФИО] достигнуто добровольное примирение. Вред заглажен: [подробно]. Заявление потерпевшего и подтверждающие документы прилагаются.</w:t>
      </w:r>
    </w:p>
    <w:p>
      <w:r>
        <w:t>Правовые последствия прекращения по нереабилитирующему основанию мне разъяснены и понятны. Против прекращения дела по этому основанию не возражаю.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ходатайство и доказательства примирения и заглаживания вреда.</w:t>
      </w:r>
    </w:p>
    <w:p>
      <w:pPr>
        <w:pStyle w:val="ListNumber"/>
        <w:numPr>
          <w:ilvl w:val="0"/>
          <w:numId w:val="10"/>
        </w:numPr>
      </w:pPr>
      <w:r>
        <w:t>Прекратить уголовное дело / уголовное преследование на основании статьи 25 УПК РФ и статьи 76 УК РФ.</w:t>
      </w:r>
    </w:p>
    <w:p>
      <w:pPr>
        <w:pStyle w:val="ListNumber"/>
        <w:numPr>
          <w:ilvl w:val="0"/>
          <w:numId w:val="10"/>
        </w:numPr>
      </w:pPr>
      <w:r>
        <w:t>Отразить в решении судьбу вещественных доказательств, обеспечительных мер и иных процессуальных ограничений.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Прекращение по статье 25 УПК РФ в общем случае является правом, а не автоматической обязанностью органа или суда. Нельзя использовать шаблон, если статья относится к тяжкому преступлению или лицо не отвечает условию «впервые».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заявление потерпевшего;</w:t>
      </w:r>
    </w:p>
    <w:p>
      <w:pPr>
        <w:pStyle w:val="ListBullet"/>
        <w:numPr>
          <w:ilvl w:val="0"/>
          <w:numId w:val="11"/>
        </w:numPr>
      </w:pPr>
      <w:r>
        <w:t>документы о возмещении и заглаживании вреда;</w:t>
      </w:r>
    </w:p>
    <w:p>
      <w:pPr>
        <w:pStyle w:val="ListBullet"/>
        <w:numPr>
          <w:ilvl w:val="0"/>
          <w:numId w:val="11"/>
        </w:numPr>
      </w:pPr>
      <w:r>
        <w:t>характеристики и сведения о судимости;</w:t>
      </w:r>
    </w:p>
    <w:p>
      <w:pPr>
        <w:pStyle w:val="ListBullet"/>
        <w:numPr>
          <w:ilvl w:val="0"/>
          <w:numId w:val="11"/>
        </w:numPr>
      </w:pPr>
      <w:r>
        <w:t>доверенность или ордер защитника.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25 и часть 2 статьи 27 УПК РФ; статья 76 УК РФ; постановление Пленума Верховного Суда РФ от 27.06.2013 № 19.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