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Ходатайство о строительно-технической экспертизе скрытых дефектов квартиры</w:t>
      </w:r>
    </w:p>
    <w:p>
      <w:pPr>
        <w:pStyle w:val="SmallNote"/>
      </w:pPr>
      <w:r>
        <w:t>Категория: Заявления  •  Статья сайта: №236</w:t>
      </w:r>
    </w:p>
    <w:p>
      <w:pPr>
        <w:pStyle w:val="SmallNote"/>
      </w:pPr>
      <w:r>
        <w:rPr>
          <w:color w:val="676767"/>
        </w:rPr>
        <w:t>Структура: ХОДАТАЙСТВО: суд/орган и дело • обстоятельства • обоснование • конкретные просьбы/вопросы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В гражданском деле спорят о наличии, причине, времени возникновения, скрытом характере и стоимости устранения дефектов квартиры.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[суд]</w:t>
      </w:r>
    </w:p>
    <w:p>
      <w:pPr>
        <w:spacing w:after="40"/>
        <w:jc w:val="left"/>
      </w:pPr>
      <w:r>
        <w:rPr>
          <w:color w:val="14213D"/>
          <w:sz w:val="20"/>
        </w:rPr>
        <w:t>Дело № [номер] • судья [ФИО]</w:t>
      </w:r>
    </w:p>
    <w:p>
      <w:pPr>
        <w:spacing w:after="40"/>
        <w:jc w:val="left"/>
      </w:pPr>
      <w:r>
        <w:rPr>
          <w:color w:val="14213D"/>
          <w:sz w:val="20"/>
        </w:rPr>
        <w:t>От [сторона]: [данные]</w:t>
      </w:r>
    </w:p>
    <w:p>
      <w:pPr>
        <w:spacing w:after="40"/>
        <w:jc w:val="left"/>
      </w:pPr>
      <w:r>
        <w:rPr>
          <w:color w:val="14213D"/>
          <w:sz w:val="20"/>
        </w:rPr>
        <w:t>Другие участники: [данные]</w:t>
      </w:r>
    </w:p>
    <w:p>
      <w:pPr>
        <w:pStyle w:val="Heading1"/>
      </w:pPr>
      <w:r>
        <w:t>ХОДАТАЙСТВО О НАЗНАЧЕНИИ СУДЕБНОЙ СТРОИТЕЛЬНО-ТЕХНИЧЕСКОЙ ЭКСПЕРТИЗЫ</w:t>
      </w:r>
    </w:p>
    <w:p>
      <w:pPr>
        <w:pStyle w:val="Heading2"/>
      </w:pPr>
      <w:r>
        <w:t>ОБСТОЯТЕЛЬСТВА</w:t>
      </w:r>
    </w:p>
    <w:p>
      <w:r>
        <w:t>Спор касается недостатков квартиры [адрес]: [перечень]. Стороны расходятся в [наличие, причина, момент возникновения, возможность обнаружения, объём ремонта]. Объект сохранён / аварийные работы выполнены с фиксацией [как].</w:t>
      </w:r>
    </w:p>
    <w:p>
      <w:pPr>
        <w:pStyle w:val="Heading2"/>
      </w:pPr>
      <w:r>
        <w:t>ОБОСНОВАНИЕ</w:t>
      </w:r>
    </w:p>
    <w:p>
      <w:r>
        <w:t>Для исследования конструкций, инженерных систем, причин и стоимости нужны специальные знания. Эксперт устанавливает технические факты; применимое право, вину и существенность нарушения определяет суд.</w:t>
      </w:r>
    </w:p>
    <w:p>
      <w:pPr>
        <w:pStyle w:val="Heading2"/>
      </w:pPr>
      <w:r>
        <w:t>ВОПРОСЫ ЭКСПЕРТУ</w:t>
      </w:r>
    </w:p>
    <w:p>
      <w:pPr>
        <w:pStyle w:val="ListNumber"/>
        <w:numPr>
          <w:ilvl w:val="0"/>
          <w:numId w:val="10"/>
        </w:numPr>
      </w:pPr>
      <w:r>
        <w:t>Какие недостатки имеются, где они расположены и каким обязательным требованиям/условиям договора не соответствуют?</w:t>
      </w:r>
    </w:p>
    <w:p>
      <w:pPr>
        <w:pStyle w:val="ListNumber"/>
        <w:numPr>
          <w:ilvl w:val="0"/>
          <w:numId w:val="10"/>
        </w:numPr>
      </w:pPr>
      <w:r>
        <w:t>Каковы технические причины каждого недостатка и существовали ли они на дату передачи квартиры либо были обусловлены причинами, возникшими до этой даты?</w:t>
      </w:r>
    </w:p>
    <w:p>
      <w:pPr>
        <w:pStyle w:val="ListNumber"/>
        <w:numPr>
          <w:ilvl w:val="0"/>
          <w:numId w:val="10"/>
        </w:numPr>
      </w:pPr>
      <w:r>
        <w:t>Могли ли недостатки быть обнаружены при обычном визуальном осмотре покупателем без специальных знаний и вскрытия конструкций?</w:t>
      </w:r>
    </w:p>
    <w:p>
      <w:pPr>
        <w:pStyle w:val="ListNumber"/>
        <w:numPr>
          <w:ilvl w:val="0"/>
          <w:numId w:val="10"/>
        </w:numPr>
      </w:pPr>
      <w:r>
        <w:t>Относится ли источник дефекта к квартире, общему имуществу или действиям третьих лиц?</w:t>
      </w:r>
    </w:p>
    <w:p>
      <w:pPr>
        <w:pStyle w:val="ListNumber"/>
        <w:numPr>
          <w:ilvl w:val="0"/>
          <w:numId w:val="10"/>
        </w:numPr>
      </w:pPr>
      <w:r>
        <w:t>Какие работы технически необходимы для устранения недостатков и какова их рыночная стоимость на [дата, регион]?</w:t>
      </w:r>
    </w:p>
    <w:p>
      <w:pPr>
        <w:pStyle w:val="Heading2"/>
      </w:pPr>
      <w:r>
        <w:t>ПРОСИТЕЛЬНАЯ ЧАСТЬ</w:t>
      </w:r>
    </w:p>
    <w:p>
      <w:pPr>
        <w:pStyle w:val="ListNumber"/>
        <w:numPr>
          <w:ilvl w:val="0"/>
          <w:numId w:val="10"/>
        </w:numPr>
      </w:pPr>
      <w:r>
        <w:t>Назначить экспертизу в [учреждение / на усмотрение суда].</w:t>
      </w:r>
    </w:p>
    <w:p>
      <w:pPr>
        <w:pStyle w:val="ListNumber"/>
        <w:numPr>
          <w:ilvl w:val="0"/>
          <w:numId w:val="10"/>
        </w:numPr>
      </w:pPr>
      <w:r>
        <w:t>Предоставить экспертам квартиру, договор, акт, проектную/техническую документацию, фото, акты УК и материалы предыдущих обследований.</w:t>
      </w:r>
    </w:p>
    <w:p>
      <w:pPr>
        <w:pStyle w:val="ListNumber"/>
        <w:numPr>
          <w:ilvl w:val="0"/>
          <w:numId w:val="10"/>
        </w:numPr>
      </w:pPr>
      <w:r>
        <w:t>Обеспечить осмотр с заблаговременным извещением участников и определить предварительную оплату на депозит суда.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Удалите вопросы, не относящиеся к спору. Не ставьте перед экспертом вопрос «обязан ли продавец вернуть деньги» — это правовая оценка суда.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копии ходатайства участникам;</w:t>
      </w:r>
    </w:p>
    <w:p>
      <w:pPr>
        <w:pStyle w:val="ListBullet"/>
        <w:numPr>
          <w:ilvl w:val="0"/>
          <w:numId w:val="11"/>
        </w:numPr>
      </w:pPr>
      <w:r>
        <w:t>договор и передаточный акт;</w:t>
      </w:r>
    </w:p>
    <w:p>
      <w:pPr>
        <w:pStyle w:val="ListBullet"/>
        <w:numPr>
          <w:ilvl w:val="0"/>
          <w:numId w:val="11"/>
        </w:numPr>
      </w:pPr>
      <w:r>
        <w:t>технические документы;</w:t>
      </w:r>
    </w:p>
    <w:p>
      <w:pPr>
        <w:pStyle w:val="ListBullet"/>
        <w:numPr>
          <w:ilvl w:val="0"/>
          <w:numId w:val="11"/>
        </w:numPr>
      </w:pPr>
      <w:r>
        <w:t>акты и заявки УК;</w:t>
      </w:r>
    </w:p>
    <w:p>
      <w:pPr>
        <w:pStyle w:val="ListBullet"/>
        <w:numPr>
          <w:ilvl w:val="0"/>
          <w:numId w:val="11"/>
        </w:numPr>
      </w:pPr>
      <w:r>
        <w:t>фото и видео;</w:t>
      </w:r>
    </w:p>
    <w:p>
      <w:pPr>
        <w:pStyle w:val="ListBullet"/>
        <w:numPr>
          <w:ilvl w:val="0"/>
          <w:numId w:val="11"/>
        </w:numPr>
      </w:pPr>
      <w:r>
        <w:t>заключения сторон;</w:t>
      </w:r>
    </w:p>
    <w:p>
      <w:pPr>
        <w:pStyle w:val="ListBullet"/>
        <w:numPr>
          <w:ilvl w:val="0"/>
          <w:numId w:val="11"/>
        </w:numPr>
      </w:pPr>
      <w:r>
        <w:t>сведения об экспертном учреждении и стоимости — при наличии.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35, 56–57, 79–80, 82, 85–87, 94 и 96 ГПК РФ; Федеральный закон № 73-ФЗ.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№236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