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строительно-технической экспертизе по недостаткам квартиры</w:t>
      </w:r>
    </w:p>
    <w:p>
      <w:pPr>
        <w:pStyle w:val="SmallNote"/>
      </w:pPr>
      <w:r>
        <w:t>Категория: Заявления  •  Статья сайта: №262</w:t>
      </w:r>
    </w:p>
    <w:p>
      <w:pPr>
        <w:pStyle w:val="SmallNote"/>
      </w:pPr>
      <w:r>
        <w:rPr>
          <w:color w:val="676767"/>
        </w:rPr>
        <w:t>Структура: ХОДАТАЙСТВО ПО ГПК РФ: суд и дело • обстоятельства • обоснование • вопросы/просьбы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уже возбуждённом деле, когда спорны наличие, причина, гарантийный характер или стоимость устранения дефектов.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[истец / ответчик]: [данные]</w:t>
      </w:r>
    </w:p>
    <w:p>
      <w:pPr>
        <w:spacing w:after="40"/>
        <w:jc w:val="left"/>
      </w:pPr>
      <w:r>
        <w:rPr>
          <w:color w:val="14213D"/>
          <w:sz w:val="20"/>
        </w:rPr>
        <w:t>Другие лица: [данные]</w:t>
      </w:r>
    </w:p>
    <w:p>
      <w:pPr>
        <w:pStyle w:val="Heading1"/>
      </w:pPr>
      <w:r>
        <w:t>ХОДАТАЙСТВО О НАЗНАЧЕНИИ СУДЕБНОЙ СТРОИТЕЛЬНО-ТЕХНИЧЕСКОЙ ЭКСПЕРТИЗЫ</w:t>
      </w:r>
    </w:p>
    <w:p>
      <w:pPr>
        <w:pStyle w:val="Heading2"/>
      </w:pPr>
      <w:r>
        <w:t>ОБСТОЯТЕЛЬСТВА</w:t>
      </w:r>
    </w:p>
    <w:p>
      <w:r>
        <w:t>Стороны спорят о [дефекты, причины, стоимость]. В деле имеются [акты / заключения], но они расходятся в [чём]. Для разрешения нужны специальные знания.</w:t>
      </w:r>
    </w:p>
    <w:p>
      <w:pPr>
        <w:pStyle w:val="Heading2"/>
      </w:pPr>
      <w:r>
        <w:t>ОБОСНОВАНИЕ</w:t>
      </w:r>
    </w:p>
    <w:p>
      <w:r>
        <w:t>По статьям 79–80 ГПК РФ суд назначает экспертизу, определяет вопросы, материалы и эксперта. Юридическую ответственность эксперт не устанавливает.</w:t>
      </w:r>
    </w:p>
    <w:p>
      <w:pPr>
        <w:pStyle w:val="Heading2"/>
      </w:pPr>
      <w:r>
        <w:t>ВОПРОСЫ ЭКСПЕРТУ</w:t>
      </w:r>
    </w:p>
    <w:p>
      <w:pPr>
        <w:pStyle w:val="ListNumber"/>
        <w:numPr>
          <w:ilvl w:val="0"/>
          <w:numId w:val="10"/>
        </w:numPr>
      </w:pPr>
      <w:r>
        <w:t>Имеются ли указанные недостатки, каковы их характер, локализация и последствия?</w:t>
      </w:r>
    </w:p>
    <w:p>
      <w:pPr>
        <w:pStyle w:val="ListNumber"/>
        <w:numPr>
          <w:ilvl w:val="0"/>
          <w:numId w:val="10"/>
        </w:numPr>
      </w:pPr>
      <w:r>
        <w:t>Соответствуют ли работы договору, проекту, обязательным требованиям и обычно предъявляемому качеству?</w:t>
      </w:r>
    </w:p>
    <w:p>
      <w:pPr>
        <w:pStyle w:val="ListNumber"/>
        <w:numPr>
          <w:ilvl w:val="0"/>
          <w:numId w:val="10"/>
        </w:numPr>
      </w:pPr>
      <w:r>
        <w:t>Каковы технические причины каждого недостатка и мог ли он возникнуть из-за эксплуатации или ремонта после передачи?</w:t>
      </w:r>
    </w:p>
    <w:p>
      <w:pPr>
        <w:pStyle w:val="ListNumber"/>
        <w:numPr>
          <w:ilvl w:val="0"/>
          <w:numId w:val="10"/>
        </w:numPr>
      </w:pPr>
      <w:r>
        <w:t>Каков технически обоснованный способ и рыночная стоимость устранения на [дата]?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Назначить экспертизу в [организация / на усмотрение суда].</w:t>
      </w:r>
    </w:p>
    <w:p>
      <w:pPr>
        <w:pStyle w:val="ListNumber"/>
        <w:numPr>
          <w:ilvl w:val="0"/>
          <w:numId w:val="10"/>
        </w:numPr>
      </w:pPr>
      <w:r>
        <w:t>Предоставить эксперту доступ к объекту и материалы [перечень].</w:t>
      </w:r>
    </w:p>
    <w:p>
      <w:pPr>
        <w:pStyle w:val="ListNumber"/>
        <w:numPr>
          <w:ilvl w:val="0"/>
          <w:numId w:val="10"/>
        </w:numPr>
      </w:pPr>
      <w:r>
        <w:t>Определить срок и предварительную оплату на депозит суда.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задавайте эксперту вопросы «нарушил ли застройщик закон» и «сколько взыскать». Обеспечьте извещение сторон об осмотре.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акты и фото;</w:t>
      </w:r>
    </w:p>
    <w:p>
      <w:pPr>
        <w:pStyle w:val="ListBullet"/>
        <w:numPr>
          <w:ilvl w:val="0"/>
          <w:numId w:val="11"/>
        </w:numPr>
      </w:pPr>
      <w:r>
        <w:t>ДДУ, проект и исполнительная документация;</w:t>
      </w:r>
    </w:p>
    <w:p>
      <w:pPr>
        <w:pStyle w:val="ListBullet"/>
        <w:numPr>
          <w:ilvl w:val="0"/>
          <w:numId w:val="11"/>
        </w:numPr>
      </w:pPr>
      <w:r>
        <w:t>заключения сторон;</w:t>
      </w:r>
    </w:p>
    <w:p>
      <w:pPr>
        <w:pStyle w:val="ListBullet"/>
        <w:numPr>
          <w:ilvl w:val="0"/>
          <w:numId w:val="11"/>
        </w:numPr>
      </w:pPr>
      <w:r>
        <w:t>предложение экспертной организации — при наличии;</w:t>
      </w:r>
    </w:p>
    <w:p>
      <w:pPr>
        <w:pStyle w:val="ListBullet"/>
        <w:numPr>
          <w:ilvl w:val="0"/>
          <w:numId w:val="11"/>
        </w:numPr>
      </w:pPr>
      <w:r>
        <w:t>копии ходатайства.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56–57, 79–80, 85–87, 94, 96 ГПК РФ; Федеральный закон № 73-ФЗ; статья 7 Федерального закона № 214-ФЗ.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