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в суд об истребовании видеозаписи у управляющей компании</w:t>
      </w:r>
    </w:p>
    <w:p>
      <w:pPr>
        <w:pStyle w:val="SmallNote"/>
      </w:pPr>
      <w:r>
        <w:t>Категория: Заявления  •  Статья сайта: №239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Дело уже находится в суде, точная запись имеет значение, самостоятельно получить её не удалось, а место хранения и период известны.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[истец/ответчик/третье лицо]: [данные]</w:t>
      </w:r>
    </w:p>
    <w:p>
      <w:pPr>
        <w:spacing w:after="40"/>
        <w:jc w:val="left"/>
      </w:pPr>
      <w:r>
        <w:rPr>
          <w:color w:val="14213D"/>
          <w:sz w:val="20"/>
        </w:rPr>
        <w:t>Лицо, у которого находится запись: [УК/оператор, адрес]</w:t>
      </w:r>
    </w:p>
    <w:p>
      <w:pPr>
        <w:pStyle w:val="Heading1"/>
      </w:pPr>
      <w:r>
        <w:t>ХОДАТАЙСТВО ОБ ИСТРЕБОВАНИИ И ОБЕСПЕЧЕНИИ СОХРАННОСТИ ВИДЕОЗАПИСИ</w:t>
      </w:r>
    </w:p>
    <w:p>
      <w:pPr>
        <w:pStyle w:val="Heading2"/>
      </w:pPr>
      <w:r>
        <w:t>ОБСТОЯТЕЛЬСТВА</w:t>
      </w:r>
    </w:p>
    <w:p>
      <w:r>
        <w:t>Видеозапись камеры [точное место] за [дата, время от/до] может подтвердить [конкретное обстоятельство]. Она находится у [оператор]. Запрос от [дата] оставлен без удовлетворения / доступ ограничен; копии прилагаются.</w:t>
      </w:r>
    </w:p>
    <w:p>
      <w:pPr>
        <w:pStyle w:val="Heading2"/>
      </w:pPr>
      <w:r>
        <w:t>ОБОСНОВАНИЕ</w:t>
      </w:r>
    </w:p>
    <w:p>
      <w:r>
        <w:t>Лицо, которое не может самостоятельно получить доказательство, вправе просить суд об истребовании, указав доказательство, значимые обстоятельства, причины невозможности и место нахождения. Аудио- и видеозаписи представляются с указанием времени, условий и обстоятельств их получения.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Истребовать у [оператор] оригинальный файл/экспорт записи за [период], сведения о камере, времени системы, целостности и способе выгрузки.</w:t>
      </w:r>
    </w:p>
    <w:p>
      <w:pPr>
        <w:pStyle w:val="ListNumber"/>
        <w:numPr>
          <w:ilvl w:val="0"/>
          <w:numId w:val="10"/>
        </w:numPr>
      </w:pPr>
      <w:r>
        <w:t>Обязать до исполнения запроса сохранить оригинал и относящиеся к нему журналы/метаданные без перезаписи.</w:t>
      </w:r>
    </w:p>
    <w:p>
      <w:pPr>
        <w:pStyle w:val="ListNumber"/>
        <w:numPr>
          <w:ilvl w:val="0"/>
          <w:numId w:val="10"/>
        </w:numPr>
      </w:pPr>
      <w:r>
        <w:t>Предложить передать запись непосредственно суду на электронном носителе либо через допустимый защищённый канал.</w:t>
      </w:r>
    </w:p>
    <w:p>
      <w:pPr>
        <w:pStyle w:val="ListNumber"/>
        <w:numPr>
          <w:ilvl w:val="0"/>
          <w:numId w:val="10"/>
        </w:numPr>
      </w:pPr>
      <w:r>
        <w:t>Ограничить ознакомление/обезличить данные третьих лиц в необходимой части, не уничтожая доказательственную ценность оригинала.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запись «за весь месяц», если спор относится к нескольким минутам. Чем точнее камера, период и обстоятельство, тем выше исполнимость запроса.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запрос оператору и доказательство направления;</w:t>
      </w:r>
    </w:p>
    <w:p>
      <w:pPr>
        <w:pStyle w:val="ListBullet"/>
        <w:numPr>
          <w:ilvl w:val="0"/>
          <w:numId w:val="11"/>
        </w:numPr>
      </w:pPr>
      <w:r>
        <w:t>ответ/отказ;</w:t>
      </w:r>
    </w:p>
    <w:p>
      <w:pPr>
        <w:pStyle w:val="ListBullet"/>
        <w:numPr>
          <w:ilvl w:val="0"/>
          <w:numId w:val="11"/>
        </w:numPr>
      </w:pPr>
      <w:r>
        <w:t>схема расположения камеры;</w:t>
      </w:r>
    </w:p>
    <w:p>
      <w:pPr>
        <w:pStyle w:val="ListBullet"/>
        <w:numPr>
          <w:ilvl w:val="0"/>
          <w:numId w:val="11"/>
        </w:numPr>
      </w:pPr>
      <w:r>
        <w:t>документы о событии;</w:t>
      </w:r>
    </w:p>
    <w:p>
      <w:pPr>
        <w:pStyle w:val="ListBullet"/>
        <w:numPr>
          <w:ilvl w:val="0"/>
          <w:numId w:val="11"/>
        </w:numPr>
      </w:pPr>
      <w:r>
        <w:t>электронный носитель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55–57, 67, 77 и 166 ГПК РФ; Федеральный закон № 152-ФЗ.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