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назначении судебно-медицинской экспертизы по спору о качестве лечения</w:t>
      </w:r>
    </w:p>
    <w:p>
      <w:pPr>
        <w:pStyle w:val="SmallNote"/>
      </w:pPr>
      <w:r>
        <w:t>Категория: Заявления  •  Статья сайта: №268</w:t>
      </w:r>
    </w:p>
    <w:p>
      <w:pPr>
        <w:pStyle w:val="SmallNote"/>
      </w:pPr>
      <w:r>
        <w:rPr>
          <w:color w:val="676767"/>
        </w:rPr>
        <w:t>Структура: ХОДАТАЙСТВО ПО ГПК РФ: суд и дело • участник • обстоятельства • обоснование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уже возбуждённом гражданском деле, если для оценки дефекта и причинной связи нужны специальные знания. Вопросы должны быть медицинскими, а не юридическими.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[истец / ответчик]: [ФИО / наименование,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[данные]</w:t>
      </w:r>
    </w:p>
    <w:p>
      <w:pPr>
        <w:pStyle w:val="Heading1"/>
      </w:pPr>
      <w:r>
        <w:t>ХОДАТАЙСТВО О НАЗНАЧЕНИИ КОМИССИОННОЙ СУДЕБНО-МЕДИЦИНСКОЙ ЭКСПЕРТИЗЫ</w:t>
      </w:r>
    </w:p>
    <w:p>
      <w:pPr>
        <w:pStyle w:val="Heading2"/>
      </w:pPr>
      <w:r>
        <w:t>ОБСТОЯТЕЛЬСТВА</w:t>
      </w:r>
    </w:p>
    <w:p>
      <w:r>
        <w:t>Предмет дела — вред после помощи от [даты]. Стороны спорят о [дефекте, причинной связи, объёме вреда]. Имеются [экспертиза качества, заключения], но они [противоречивы / не охватывают все вопросы].</w:t>
      </w:r>
    </w:p>
    <w:p>
      <w:pPr>
        <w:pStyle w:val="Heading2"/>
      </w:pPr>
      <w:r>
        <w:t>ОБОСНОВАНИЕ</w:t>
      </w:r>
    </w:p>
    <w:p>
      <w:r>
        <w:t>По статьям 79–80 ГПК РФ суд назначает экспертизу, если нужны специальные знания. Стороны вправе предлагать вопросы и экспертную организацию; недоступные доказательства истребуются по статье 57.</w:t>
      </w:r>
    </w:p>
    <w:p>
      <w:pPr>
        <w:pStyle w:val="Heading2"/>
      </w:pPr>
      <w:r>
        <w:t>ВОПРОСЫ ЭКСПЕРТАМ</w:t>
      </w:r>
    </w:p>
    <w:p>
      <w:pPr>
        <w:pStyle w:val="ListNumber"/>
        <w:numPr>
          <w:ilvl w:val="0"/>
          <w:numId w:val="10"/>
        </w:numPr>
      </w:pPr>
      <w:r>
        <w:t>Соответствовали ли диагностика, лечение и наблюдение за [период] клиническим рекомендациям, порядкам и обычно предъявляемым требованиям?</w:t>
      </w:r>
    </w:p>
    <w:p>
      <w:pPr>
        <w:pStyle w:val="ListNumber"/>
        <w:numPr>
          <w:ilvl w:val="0"/>
          <w:numId w:val="10"/>
        </w:numPr>
      </w:pPr>
      <w:r>
        <w:t>Какие конкретные дефекты имелись, на каком этапе и в чём они выразились?</w:t>
      </w:r>
    </w:p>
    <w:p>
      <w:pPr>
        <w:pStyle w:val="ListNumber"/>
        <w:numPr>
          <w:ilvl w:val="0"/>
          <w:numId w:val="10"/>
        </w:numPr>
      </w:pPr>
      <w:r>
        <w:t>Какой вред здоровью и ограничения трудоспособности имеются у истца?</w:t>
      </w:r>
    </w:p>
    <w:p>
      <w:pPr>
        <w:pStyle w:val="ListNumber"/>
        <w:numPr>
          <w:ilvl w:val="0"/>
          <w:numId w:val="10"/>
        </w:numPr>
      </w:pPr>
      <w:r>
        <w:t>Имеется ли причинная связь между выявленными дефектами и вредом; каков вклад исходного заболевания и иных факторов?</w:t>
      </w:r>
    </w:p>
    <w:p>
      <w:pPr>
        <w:pStyle w:val="ListNumber"/>
        <w:numPr>
          <w:ilvl w:val="0"/>
          <w:numId w:val="10"/>
        </w:numPr>
      </w:pPr>
      <w:r>
        <w:t>Являются ли заявленные расходы на лечение, уход и реабилитацию медицински необходимыми и на какой срок?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Назначить комиссионную судебно-медицинскую экспертизу в [учреждение / на усмотрение суда].</w:t>
      </w:r>
    </w:p>
    <w:p>
      <w:pPr>
        <w:pStyle w:val="ListNumber"/>
        <w:numPr>
          <w:ilvl w:val="0"/>
          <w:numId w:val="10"/>
        </w:numPr>
      </w:pPr>
      <w:r>
        <w:t>Поставить перед экспертами выбранные вопросы, уточнив их по материалам дела.</w:t>
      </w:r>
    </w:p>
    <w:p>
      <w:pPr>
        <w:pStyle w:val="ListNumber"/>
        <w:numPr>
          <w:ilvl w:val="0"/>
          <w:numId w:val="10"/>
        </w:numPr>
      </w:pPr>
      <w:r>
        <w:t>Истребовать и направить экспертам оригиналы карт, цифровые снимки, данные исследований, экспертизу качества и все нужные материалы.</w:t>
      </w:r>
    </w:p>
    <w:p>
      <w:pPr>
        <w:pStyle w:val="ListNumber"/>
        <w:numPr>
          <w:ilvl w:val="0"/>
          <w:numId w:val="10"/>
        </w:numPr>
      </w:pPr>
      <w:r>
        <w:t>Определить предварительную оплату и срок внесения средств на счёт суда.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ставьте вопросы «виновен ли ответчик», «нарушен ли закон» или «сколько взыскать»: это решает суд. Укажите все медорганизации и периоды, иначе эксперты получат неполный материал.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медицинских документов и перечень оригиналов;</w:t>
      </w:r>
    </w:p>
    <w:p>
      <w:pPr>
        <w:pStyle w:val="ListBullet"/>
        <w:numPr>
          <w:ilvl w:val="0"/>
          <w:numId w:val="11"/>
        </w:numPr>
      </w:pPr>
      <w:r>
        <w:t>заключение экспертизы качества и иные мнения;</w:t>
      </w:r>
    </w:p>
    <w:p>
      <w:pPr>
        <w:pStyle w:val="ListBullet"/>
        <w:numPr>
          <w:ilvl w:val="0"/>
          <w:numId w:val="11"/>
        </w:numPr>
      </w:pPr>
      <w:r>
        <w:t>перечень объектов и мест их хранения;</w:t>
      </w:r>
    </w:p>
    <w:p>
      <w:pPr>
        <w:pStyle w:val="ListBullet"/>
        <w:numPr>
          <w:ilvl w:val="0"/>
          <w:numId w:val="11"/>
        </w:numPr>
      </w:pPr>
      <w:r>
        <w:t>предложение экспертного учреждения о стоимости и сроке — при наличии;</w:t>
      </w:r>
    </w:p>
    <w:p>
      <w:pPr>
        <w:pStyle w:val="ListBullet"/>
        <w:numPr>
          <w:ilvl w:val="0"/>
          <w:numId w:val="11"/>
        </w:numPr>
      </w:pPr>
      <w:r>
        <w:t>копии ходатайства для участников.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85–87, 94, 96 ГПК РФ; Федеральный закон № 73-ФЗ; статьи 37 и 98 Федерального закона № 323-ФЗ.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