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судебно-психиатрической экспертизы по делу о недееспособности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№320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вводная • обстоятельства • обоснование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Когда суд рассматривает заявление о признании гражданина недееспособным и нужно поставить экспертам вопросы о психическом расстройстве и способности понимать значение своих действий. Ходатайство подаётся в уже возбуждённом деле и не заменяет основное заявление.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Лицо, в отношении которого рассматривается дело: [ФИО, адрес]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Заинтересованные лица: орган опеки [наименование]; медицинская организация [при наличии]</w:t>
      </w:r>
    </w:p>
    <w:p>
      <w:pPr>
        <w:pStyle w:val="Heading1"/>
      </w:pPr>
      <w:r>
        <w:t>ХОДАТАЙСТВО О НАЗНАЧЕНИИ СУДЕБНО-ПСИХИАТРИЧЕСКОЙ ЭКСПЕРТИЗЫ</w:t>
      </w:r>
    </w:p>
    <w:p>
      <w:pPr>
        <w:pStyle w:val="Heading2"/>
      </w:pPr>
      <w:r>
        <w:t>ОБСТОЯТЕЛЬСТВА</w:t>
      </w:r>
    </w:p>
    <w:p>
      <w:r>
        <w:t>В производстве суда находится дело о признании [ФИО] недееспособным вследствие психического расстройства. Заявление основано на следующих наблюдаемых обстоятельствах: [дезориентация, утрата памяти, опасные сделки, невозможность обслуживать себя — указать конкретно, без унизительных оценок].</w:t>
      </w:r>
    </w:p>
    <w:p>
      <w:r>
        <w:t>Медицинские документы содержат сведения о [диагноз / обследование / лечение], однако вывод о способности гражданина понимать значение своих действий и руководить ими требует специальных знаний.</w:t>
      </w:r>
    </w:p>
    <w:p>
      <w:pPr>
        <w:pStyle w:val="Heading2"/>
      </w:pPr>
      <w:r>
        <w:t>ПРАВОВОЕ ОБОСНОВАНИЕ</w:t>
      </w:r>
    </w:p>
    <w:p>
      <w:r>
        <w:t>При наличии достаточных данных о психическом расстройстве суд назначает судебно-психиатрическую экспертизу. Экспертное заключение оценивается вместе с другими доказательствами и не подменяет решение суда.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по делу судебно-психиатрическую экспертизу и поручить её [государственному экспертному учреждению / учреждению по выбору суда].</w:t>
      </w:r>
    </w:p>
    <w:p>
      <w:pPr>
        <w:pStyle w:val="ListNumber"/>
        <w:numPr>
          <w:ilvl w:val="0"/>
          <w:numId w:val="10"/>
        </w:numPr>
      </w:pPr>
      <w:r>
        <w:t>Поставить перед экспертами вопросы: страдает ли [ФИО] психическим расстройством; способен ли вследствие него понимать значение своих действий и руководить ими; может ли лично участвовать в судебном заседании без опасности для жизни или здоровья; возможно ли исследование амбулаторно.</w:t>
      </w:r>
    </w:p>
    <w:p>
      <w:pPr>
        <w:pStyle w:val="ListNumber"/>
        <w:numPr>
          <w:ilvl w:val="0"/>
          <w:numId w:val="10"/>
        </w:numPr>
      </w:pPr>
      <w:r>
        <w:t>Предоставить экспертам медицинские документы и материалы дела, а при их недостаточности — истребовать сведения из [медицинские организации].</w:t>
      </w:r>
    </w:p>
    <w:p>
      <w:pPr>
        <w:pStyle w:val="ListNumber"/>
        <w:numPr>
          <w:ilvl w:val="0"/>
          <w:numId w:val="10"/>
        </w:numPr>
      </w:pPr>
      <w:r>
        <w:t>О времени и месте экспертного исследования известить участников дела установленным порядком.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Принудительное направление в стационар возможно не по просьбе родственника автоматически, а только по мотивированному решению суда в предусмотренном законом порядке.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определения о принятии заявления / сведения о деле;</w:t>
      </w:r>
    </w:p>
    <w:p>
      <w:pPr>
        <w:pStyle w:val="ListBullet"/>
        <w:numPr>
          <w:ilvl w:val="0"/>
          <w:numId w:val="11"/>
        </w:numPr>
      </w:pPr>
      <w:r>
        <w:t>медицинские выписки и заключения;</w:t>
      </w:r>
    </w:p>
    <w:p>
      <w:pPr>
        <w:pStyle w:val="ListBullet"/>
        <w:numPr>
          <w:ilvl w:val="0"/>
          <w:numId w:val="11"/>
        </w:numPr>
      </w:pPr>
      <w:r>
        <w:t>доказательства конкретных опасных или дезориентированных действий;</w:t>
      </w:r>
    </w:p>
    <w:p>
      <w:pPr>
        <w:pStyle w:val="ListBullet"/>
        <w:numPr>
          <w:ilvl w:val="0"/>
          <w:numId w:val="11"/>
        </w:numPr>
      </w:pPr>
      <w:r>
        <w:t>перечень медицинских организаций и периодов лечения;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29 ГК РФ; статьи 35, 55–57, 79–80, 283–284 ГПК РФ; Федеральный закон от 31.05.2001 № 73-ФЗ.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