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Ходатайство об истребовании видеозаписей по делу о покупке алкоголя для подростков</w:t>
      </w:r>
    </w:p>
    <w:p>
      <w:pPr>
        <w:spacing w:after="200"/>
      </w:pPr>
      <w:r>
        <w:rPr>
          <w:b/>
          <w:color w:val="676767"/>
        </w:rPr>
        <w:t>Категория: Заявления  •  Статья сайта: №503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Записи кассы, входа или улицы могут показать возрастной контекст, передачу денег, выбор товара и факт либо отсутствие передачи алкоголя. Подайте без промедления, пока записи не перезаписаны.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[подразделение полиции / комиссию по делам несовершеннолетних / суд]</w:t>
      </w:r>
    </w:p>
    <w:p>
      <w:pPr>
        <w:spacing w:after="40"/>
        <w:jc w:val="left"/>
      </w:pPr>
      <w:r>
        <w:rPr>
          <w:color w:val="14213D"/>
          <w:sz w:val="20"/>
        </w:rPr>
        <w:t>По материалу / делу № [номер]</w:t>
      </w:r>
    </w:p>
    <w:p>
      <w:pPr>
        <w:spacing w:after="40"/>
        <w:jc w:val="left"/>
      </w:pPr>
      <w:r>
        <w:rPr>
          <w:color w:val="14213D"/>
          <w:sz w:val="20"/>
        </w:rPr>
        <w:t>От: [ФИО, процессуальное положение, адрес, телефон]</w:t>
      </w:r>
    </w:p>
    <w:p>
      <w:pPr>
        <w:pStyle w:val="Heading1"/>
      </w:pPr>
      <w:r>
        <w:t>ХОДАТАЙСТВО ОБ ИСТРЕБОВАНИИ И СОХРАНЕНИИ ВИДЕОЗАПИСЕЙ</w:t>
      </w:r>
    </w:p>
    <w:p>
      <w:r>
        <w:t>В производстве находится материал / дело по факту предполагаемой покупки и передачи алкогольной продукции несовершеннолетним [дата, место].</w:t>
      </w:r>
    </w:p>
    <w:p>
      <w:r>
        <w:t>Видеокамеры расположены: [касса №, торговый зал, вход, фасад, соседний объект, городская камера]. Необходимый период: с [время] до [время]. Записи могут подтвердить, кто обратился с просьбой, передал деньги, выбрал товар, получил покупку и где находились участники после выхода.</w:t>
      </w:r>
    </w:p>
    <w:p>
      <w:r>
        <w:t>Самостоятельно получить исходные записи я не могу, а срок их хранения ограничен. Для полного и объективного рассмотрения требуется их незамедлительное сохранение и истребование.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Незамедлительно направить владельцам указанных камер требования сохранить записи за точный период до разрешения вопроса об их приобщении.</w:t>
      </w:r>
    </w:p>
    <w:p>
      <w:pPr>
        <w:pStyle w:val="ListNumber"/>
        <w:numPr>
          <w:ilvl w:val="0"/>
          <w:numId w:val="10"/>
        </w:numPr>
      </w:pPr>
      <w:r>
        <w:t>Истребовать исходные файлы с данными о камере, времени, длительности и способе копирования, а не только отдельные кадры или переснятый экран.</w:t>
      </w:r>
    </w:p>
    <w:p>
      <w:pPr>
        <w:pStyle w:val="ListNumber"/>
        <w:numPr>
          <w:ilvl w:val="0"/>
          <w:numId w:val="10"/>
        </w:numPr>
      </w:pPr>
      <w:r>
        <w:t>Приобщить записи к материалам и отразить их получение, просмотр и хранение процессуальными документами.</w:t>
      </w:r>
    </w:p>
    <w:p>
      <w:pPr>
        <w:pStyle w:val="ListNumber"/>
        <w:numPr>
          <w:ilvl w:val="0"/>
          <w:numId w:val="10"/>
        </w:numPr>
      </w:pPr>
      <w:r>
        <w:t>Предоставить стороне возможность ознакомиться с приобщёнными записями и заявить замечания.</w:t>
      </w:r>
    </w:p>
    <w:p>
      <w:pPr>
        <w:pStyle w:val="ListNumber"/>
        <w:numPr>
          <w:ilvl w:val="0"/>
          <w:numId w:val="10"/>
        </w:numPr>
      </w:pPr>
      <w:r>
        <w:t>При невозможности получить запись приобщить ответы владельцев камер с указанием причины и срока хранения.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Укажите точный промежуток времени и конкретные камеры. Общая просьба «запросить все записи» может оказаться неисполнимой и не остановит автоматическую перезапись.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схема расположения камер или фотографии;</w:t>
      </w:r>
    </w:p>
    <w:p>
      <w:pPr>
        <w:pStyle w:val="ListBullet"/>
        <w:numPr>
          <w:ilvl w:val="0"/>
          <w:numId w:val="11"/>
        </w:numPr>
      </w:pPr>
      <w:r>
        <w:t>чек с временем покупки;</w:t>
      </w:r>
    </w:p>
    <w:p>
      <w:pPr>
        <w:pStyle w:val="ListBullet"/>
        <w:numPr>
          <w:ilvl w:val="0"/>
          <w:numId w:val="11"/>
        </w:numPr>
      </w:pPr>
      <w:r>
        <w:t>переписка и иные данные, уточняющие период;</w:t>
      </w:r>
    </w:p>
    <w:p>
      <w:pPr>
        <w:pStyle w:val="ListBullet"/>
        <w:numPr>
          <w:ilvl w:val="0"/>
          <w:numId w:val="11"/>
        </w:numPr>
      </w:pPr>
      <w:r>
        <w:t>ответ магазина на самостоятельное обращение о сохранении записи — при наличии;</w:t>
      </w:r>
    </w:p>
    <w:p>
      <w:pPr>
        <w:pStyle w:val="ListBullet"/>
        <w:numPr>
          <w:ilvl w:val="0"/>
          <w:numId w:val="11"/>
        </w:numPr>
      </w:pPr>
      <w:r>
        <w:t>копия ходатайства для отметки о принятии.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24.4, 25.1, 26.1, 26.2, 26.7 и 26.10 КоАП РФ. Ходатайство подлежит немедленному рассмотрению; решение об отказе оформляется определением.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№503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