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определении временного порядка общения с ребёнком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№326</w:t>
      </w:r>
    </w:p>
    <w:p>
      <w:pPr>
        <w:spacing w:after="160"/>
      </w:pPr>
      <w:r>
        <w:rPr>
          <w:b/>
          <w:color w:val="676767"/>
          <w:sz w:val="19"/>
        </w:rPr>
        <w:t>Структура: ХОДАТАЙСТВО ПО ГПК РФ: вводная • обстоятельства • интересы ребёнка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 уже рассматриваемом споре о ребёнке для периода до вступления решения в законную силу. Суд решает вопрос в предварительном заседании с обязательным участием органа опеки, при положительном заключении и с учётом мнения ребёнка.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[ФИО]</w:t>
      </w:r>
    </w:p>
    <w:p>
      <w:pPr>
        <w:spacing w:after="40"/>
        <w:jc w:val="left"/>
      </w:pPr>
      <w:r>
        <w:rPr>
          <w:color w:val="14213D"/>
          <w:sz w:val="20"/>
        </w:rPr>
        <w:t>Орган опеки: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pStyle w:val="Heading1"/>
      </w:pPr>
      <w:r>
        <w:t>ХОДАТАЙСТВО ОБ ОПРЕДЕЛЕНИИ ПОРЯДКА ОСУЩЕСТВЛЕНИЯ РОДИТЕЛЬСКИХ ПРАВ НА ПЕРИОД ДО ВСТУПЛЕНИЯ РЕШЕНИЯ В СИЛУ</w:t>
      </w:r>
    </w:p>
    <w:p>
      <w:r>
        <w:t>В производстве суда находится спор о [порядке общения / месте жительства] ребёнка. С [дата] ответчик полностью / существенно ограничивает контакт: [факты]. Рассмотрение может занять длительное время, а разрыв устойчивой связи причиняет ребёнку [конкретные последствия].</w:t>
      </w:r>
    </w:p>
    <w:p>
      <w:r>
        <w:t>Предлагаемый временный порядок безопасен и исполним: [график]. Условия общения подтверждаются [жильё, режим, расстояние, отношения]. Орган опеки [дал положительное заключение / прошу поручить подготовить заключение].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Определить до вступления решения в законную силу временный порядок общения: [точный график, место, передача ребёнка, связь].</w:t>
      </w:r>
    </w:p>
    <w:p>
      <w:pPr>
        <w:pStyle w:val="ListNumber"/>
        <w:numPr>
          <w:ilvl w:val="0"/>
          <w:numId w:val="10"/>
        </w:numPr>
      </w:pPr>
      <w:r>
        <w:t>Обязать стороны заблаговременно сообщать о болезни и иных препятствиях и согласовывать равноценный перенос.</w:t>
      </w:r>
    </w:p>
    <w:p>
      <w:pPr>
        <w:pStyle w:val="ListNumber"/>
        <w:numPr>
          <w:ilvl w:val="0"/>
          <w:numId w:val="10"/>
        </w:numPr>
      </w:pPr>
      <w:r>
        <w:t>Получить положительное заключение органа опеки и учесть мнение ребёнка в установленном законом порядке.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Суд не обязан устанавливать временный график автоматически. Просьба должна быть конкретной, соответствовать интересам ребёнка и опираться на положительное заключение органа опеки.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иска и определение о принятии;</w:t>
      </w:r>
    </w:p>
    <w:p>
      <w:pPr>
        <w:pStyle w:val="ListBullet"/>
        <w:numPr>
          <w:ilvl w:val="0"/>
          <w:numId w:val="11"/>
        </w:numPr>
      </w:pPr>
      <w:r>
        <w:t>предложенный календарный график;</w:t>
      </w:r>
    </w:p>
    <w:p>
      <w:pPr>
        <w:pStyle w:val="ListBullet"/>
        <w:numPr>
          <w:ilvl w:val="0"/>
          <w:numId w:val="11"/>
        </w:numPr>
      </w:pPr>
      <w:r>
        <w:t>доказательства препятствий;</w:t>
      </w:r>
    </w:p>
    <w:p>
      <w:pPr>
        <w:pStyle w:val="ListBullet"/>
        <w:numPr>
          <w:ilvl w:val="0"/>
          <w:numId w:val="11"/>
        </w:numPr>
      </w:pPr>
      <w:r>
        <w:t>документы о прежнем общении;</w:t>
      </w:r>
    </w:p>
    <w:p>
      <w:pPr>
        <w:pStyle w:val="ListBullet"/>
        <w:numPr>
          <w:ilvl w:val="0"/>
          <w:numId w:val="11"/>
        </w:numPr>
      </w:pPr>
      <w:r>
        <w:t>сведения об условиях и режиме;</w:t>
      </w:r>
    </w:p>
    <w:p>
      <w:pPr>
        <w:pStyle w:val="ListBullet"/>
        <w:numPr>
          <w:ilvl w:val="0"/>
          <w:numId w:val="11"/>
        </w:numPr>
      </w:pPr>
      <w:r>
        <w:t>заключение органа опеки — если получено;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участникам.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часть 6.1 статьи 152 ГПК РФ; статьи 55, 57, 65, 66 и 78 СК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