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временном месте жительства ребёнка или порядке общения на время суда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№461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 уже возбужденном споре о ребёнке. Выберите только одну или совместимые временные меры, подтверждённые интересами ребёнка и заключением опеки.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По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Заявитель: [истец / ответчик, ФИО]</w:t>
      </w:r>
    </w:p>
    <w:p>
      <w:pPr>
        <w:spacing w:after="40"/>
        <w:jc w:val="left"/>
      </w:pPr>
      <w:r>
        <w:rPr>
          <w:color w:val="14213D"/>
          <w:sz w:val="20"/>
        </w:rPr>
        <w:t>Другой родитель: [ФИО, адрес]</w:t>
      </w:r>
    </w:p>
    <w:p>
      <w:pPr>
        <w:pStyle w:val="Heading1"/>
      </w:pPr>
      <w:r>
        <w:t>ХОДАТАЙСТВО ОБ ОПРЕДЕЛЕНИИ ВРЕМЕННОГО ПОРЯДКА ДО РАЗРЕШЕНИЯ СПОРА</w:t>
      </w:r>
    </w:p>
    <w:p>
      <w:r>
        <w:t>Рассматривается спор об [определении места жительства / порядке общения] ребёнка [ФИО]. После переезда [дата] сложилась временная ситуация: [адрес, школа, прекращение контактов, риск нового перемещения].</w:t>
      </w:r>
    </w:p>
    <w:p>
      <w:r>
        <w:t>До вступления решения в силу отсутствие временного порядка причиняет ребёнку [конкретные последствия]. Предлагаемая мера сохраняет обучение, лечение и связь с обоими родителями: [подробный режим].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С участием органа опеки определить место жительства ребёнка на период до вступления решения в законную силу: [адрес, родитель] — если это предмет дела.</w:t>
      </w:r>
    </w:p>
    <w:p>
      <w:pPr>
        <w:pStyle w:val="ListNumber"/>
        <w:numPr>
          <w:ilvl w:val="0"/>
          <w:numId w:val="10"/>
        </w:numPr>
      </w:pPr>
      <w:r>
        <w:t>Либо / одновременно определить временный порядок осуществления родительских прав: звонки, встречи, каникулы, передача информации — [график].</w:t>
      </w:r>
    </w:p>
    <w:p>
      <w:pPr>
        <w:pStyle w:val="ListNumber"/>
        <w:numPr>
          <w:ilvl w:val="0"/>
          <w:numId w:val="10"/>
        </w:numPr>
      </w:pPr>
      <w:r>
        <w:t>Истребовать заключение органа опеки и документы школ, необходимые для оценки меры.</w:t>
      </w:r>
    </w:p>
    <w:p>
      <w:pPr>
        <w:pStyle w:val="ListNumber"/>
        <w:numPr>
          <w:ilvl w:val="0"/>
          <w:numId w:val="10"/>
        </w:numPr>
      </w:pPr>
      <w:r>
        <w:t>Рассмотреть ходатайство без неоправданной задержки с учётом продолжающегося ограничения контактов.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запретить любое перемещение без срока и связи с предметом спора. Временная мера должна быть исполнимой и соразмерной.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иска и определение о принятии;</w:t>
      </w:r>
    </w:p>
    <w:p>
      <w:pPr>
        <w:pStyle w:val="ListBullet"/>
        <w:numPr>
          <w:ilvl w:val="0"/>
          <w:numId w:val="11"/>
        </w:numPr>
      </w:pPr>
      <w:r>
        <w:t>документы о переезде и школе;</w:t>
      </w:r>
    </w:p>
    <w:p>
      <w:pPr>
        <w:pStyle w:val="ListBullet"/>
        <w:numPr>
          <w:ilvl w:val="0"/>
          <w:numId w:val="11"/>
        </w:numPr>
      </w:pPr>
      <w:r>
        <w:t>предложенный точный график;</w:t>
      </w:r>
    </w:p>
    <w:p>
      <w:pPr>
        <w:pStyle w:val="ListBullet"/>
        <w:numPr>
          <w:ilvl w:val="0"/>
          <w:numId w:val="11"/>
        </w:numPr>
      </w:pPr>
      <w:r>
        <w:t>сведения об условиях у обоих родителей;</w:t>
      </w:r>
    </w:p>
    <w:p>
      <w:pPr>
        <w:pStyle w:val="ListBullet"/>
        <w:numPr>
          <w:ilvl w:val="0"/>
          <w:numId w:val="11"/>
        </w:numPr>
      </w:pPr>
      <w:r>
        <w:t>переписка о препятствиях;</w:t>
      </w:r>
    </w:p>
    <w:p>
      <w:pPr>
        <w:pStyle w:val="ListBullet"/>
        <w:numPr>
          <w:ilvl w:val="0"/>
          <w:numId w:val="11"/>
        </w:numPr>
      </w:pPr>
      <w:r>
        <w:t>заключение опеки — если уже получено.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пункт 3 статьи 65 и пункт 2 статьи 66 СК РФ; часть 6.1 статьи 152 и статьи 139–144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