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землеустроительной экспертизы по спору о границах участков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№313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вводная • обстоятельства • обоснование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рассматриваемом деле, если для выявления реестровой ошибки и определения координат необходимы специальные знания. Вопросы должны позволять эксперту исследовать документы и предложить технически определённый вариант, но не решать за суд вопросы права.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Истец: [ФИО / наименование,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/ 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Участки: [кадастровые номера]</w:t>
      </w:r>
    </w:p>
    <w:p>
      <w:pPr>
        <w:pStyle w:val="Heading1"/>
      </w:pPr>
      <w:r>
        <w:t>ХОДАТАЙСТВО О НАЗНАЧЕНИИ СУДЕБНОЙ ЗЕМЛЕУСТРОИТЕЛЬНОЙ ЭКСПЕРТИЗЫ</w:t>
      </w:r>
    </w:p>
    <w:p>
      <w:pPr>
        <w:pStyle w:val="Heading2"/>
      </w:pPr>
      <w:r>
        <w:t>ОБСТОЯТЕЛЬСТВА</w:t>
      </w:r>
    </w:p>
    <w:p>
      <w:r>
        <w:t>В деле рассматривается спор о [местоположении границы / исправлении реестровой ошибки] участков [номера]. Стороны представили противоречивые [межевые планы, заключения, схемы]. Для установления координат, площади, наложения и возможных вариантов необходимы специальные знания.</w:t>
      </w:r>
    </w:p>
    <w:p>
      <w:r>
        <w:t>Предлагаемое экспертное учреждение / эксперт: [наименование, сведения, стоимость и срок — если получены]. Истец готов внести денежные средства на депозит суда в установленном размере / просит распределить расходы по правилам ГПК РФ.</w:t>
      </w:r>
    </w:p>
    <w:p>
      <w:pPr>
        <w:pStyle w:val="Heading2"/>
      </w:pPr>
      <w:r>
        <w:t>ОБОСНОВАНИЕ</w:t>
      </w:r>
    </w:p>
    <w:p>
      <w:r>
        <w:t>Суд назначает экспертизу при возникновении вопросов, требующих специальных знаний. Стороны вправе предложить вопросы и эксперта, но окончательный круг вопросов определяет суд. Эксперт устанавливает технические обстоятельства, а не правомерность требований.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судебную землеустроительную экспертизу и поручить её [учреждение / эксперт по выбору суда].</w:t>
      </w:r>
    </w:p>
    <w:p>
      <w:pPr>
        <w:pStyle w:val="ListNumber"/>
        <w:numPr>
          <w:ilvl w:val="0"/>
          <w:numId w:val="10"/>
        </w:numPr>
      </w:pPr>
      <w:r>
        <w:t>Поставить вопросы: соответствует ли фактическое положение границ правоустанавливающим и исходным документам; имеется ли наложение; содержат ли сведения ЕГРН признаки реестровой ошибки; каковы координаты характерных точек границы по исследованным документам и местности; какие технически возможные варианты устранения наложения существуют без необоснованного изменения площади и конфигурации участков.</w:t>
      </w:r>
    </w:p>
    <w:p>
      <w:pPr>
        <w:pStyle w:val="ListNumber"/>
        <w:numPr>
          <w:ilvl w:val="0"/>
          <w:numId w:val="10"/>
        </w:numPr>
      </w:pPr>
      <w:r>
        <w:t>Предоставить эксперту материалы дела и обеспечить доступ к участкам с извещением сторон.</w:t>
      </w:r>
    </w:p>
    <w:p>
      <w:pPr>
        <w:pStyle w:val="ListNumber"/>
        <w:numPr>
          <w:ilvl w:val="0"/>
          <w:numId w:val="10"/>
        </w:numPr>
      </w:pPr>
      <w:r>
        <w:t>Решить вопрос о предварительной оплате экспертизы и последующем распределении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вопрос «кому принадлежит спорная земля» или «кто прав» — это правовая оценка суда. Для будущего ЕГРН просите координаты в пригодной системе и графическое приложение.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определения о принятии иска / сведения о деле;</w:t>
      </w:r>
    </w:p>
    <w:p>
      <w:pPr>
        <w:pStyle w:val="ListBullet"/>
        <w:numPr>
          <w:ilvl w:val="0"/>
          <w:numId w:val="11"/>
        </w:numPr>
      </w:pPr>
      <w:r>
        <w:t>выписки ЕГРН;</w:t>
      </w:r>
    </w:p>
    <w:p>
      <w:pPr>
        <w:pStyle w:val="ListBullet"/>
        <w:numPr>
          <w:ilvl w:val="0"/>
          <w:numId w:val="11"/>
        </w:numPr>
      </w:pPr>
      <w:r>
        <w:t>межевые планы и заключения кадастровых инженеров;</w:t>
      </w:r>
    </w:p>
    <w:p>
      <w:pPr>
        <w:pStyle w:val="ListBullet"/>
        <w:numPr>
          <w:ilvl w:val="0"/>
          <w:numId w:val="11"/>
        </w:numPr>
      </w:pPr>
      <w:r>
        <w:t>правоустанавливающие и архивные документы;</w:t>
      </w:r>
    </w:p>
    <w:p>
      <w:pPr>
        <w:pStyle w:val="ListBullet"/>
        <w:numPr>
          <w:ilvl w:val="0"/>
          <w:numId w:val="11"/>
        </w:numPr>
      </w:pPr>
      <w:r>
        <w:t>схемы и фотографии ориентиров;</w:t>
      </w:r>
    </w:p>
    <w:p>
      <w:pPr>
        <w:pStyle w:val="ListBullet"/>
        <w:numPr>
          <w:ilvl w:val="0"/>
          <w:numId w:val="11"/>
        </w:numPr>
      </w:pPr>
      <w:r>
        <w:t>ответ экспертной организации о сроке и стоимости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ходатайства участникам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55–57, 79–80, 85–87, 94–98 ГПК РФ; статья 61 Федерального закона № 218-ФЗ; Федеральный закон от 31.05.2001 № 73-ФЗ.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