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назначении землеустроительной экспертизы</w:t>
      </w:r>
    </w:p>
    <w:p>
      <w:pPr>
        <w:pStyle w:val="SmallNote"/>
      </w:pPr>
      <w:r>
        <w:t>Категория: Заявления  •  Статья сайта: №259</w:t>
      </w:r>
    </w:p>
    <w:p>
      <w:pPr>
        <w:pStyle w:val="SmallNote"/>
      </w:pPr>
      <w:r>
        <w:rPr>
          <w:color w:val="676767"/>
        </w:rPr>
        <w:t>Структура: ХОДАТАЙСТВО ПО ГПК РФ: суд и дело • обстоятельства • обоснование • вопросы/просьбы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 возбуждённом деле, если спорны координаты, наложение границ, площадь захвата или технический способ восстановления.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[сторона]: [данные]</w:t>
      </w:r>
    </w:p>
    <w:p>
      <w:pPr>
        <w:spacing w:after="40"/>
        <w:jc w:val="left"/>
      </w:pPr>
      <w:r>
        <w:rPr>
          <w:color w:val="14213D"/>
          <w:sz w:val="20"/>
        </w:rPr>
        <w:t>Участки: [кадастровые номера]</w:t>
      </w:r>
    </w:p>
    <w:p>
      <w:pPr>
        <w:pStyle w:val="Heading1"/>
      </w:pPr>
      <w:r>
        <w:t>ХОДАТАЙСТВО О НАЗНАЧЕНИИ СУДЕБНОЙ ЗЕМЛЕУСТРОИТЕЛЬНОЙ ЭКСПЕРТИЗЫ</w:t>
      </w:r>
    </w:p>
    <w:p>
      <w:pPr>
        <w:pStyle w:val="Heading2"/>
      </w:pPr>
      <w:r>
        <w:t>ОБСТОЯТЕЛЬСТВА</w:t>
      </w:r>
    </w:p>
    <w:p>
      <w:r>
        <w:t>Стороны по-разному определяют [границу / наложение / положение забора]. Документы [перечень] противоречат друг другу в [чём].</w:t>
      </w:r>
    </w:p>
    <w:p>
      <w:pPr>
        <w:pStyle w:val="Heading2"/>
      </w:pPr>
      <w:r>
        <w:t>ОБОСНОВАНИЕ</w:t>
      </w:r>
    </w:p>
    <w:p>
      <w:r>
        <w:t>Разрешение требует специальных знаний. Вопрос о праве и выборе способа защиты остаётся за судом.</w:t>
      </w:r>
    </w:p>
    <w:p>
      <w:pPr>
        <w:pStyle w:val="Heading2"/>
      </w:pPr>
      <w:r>
        <w:t>ВОПРОСЫ ЭКСПЕРТУ</w:t>
      </w:r>
    </w:p>
    <w:p>
      <w:pPr>
        <w:pStyle w:val="ListNumber"/>
        <w:numPr>
          <w:ilvl w:val="0"/>
          <w:numId w:val="10"/>
        </w:numPr>
      </w:pPr>
      <w:r>
        <w:t>Соответствуют ли фактические границы сведениям ЕГРН и правоустанавливающим документам?</w:t>
      </w:r>
    </w:p>
    <w:p>
      <w:pPr>
        <w:pStyle w:val="ListNumber"/>
        <w:numPr>
          <w:ilvl w:val="0"/>
          <w:numId w:val="10"/>
        </w:numPr>
      </w:pPr>
      <w:r>
        <w:t>Имеется ли наложение, каковы его координаты и площадь?</w:t>
      </w:r>
    </w:p>
    <w:p>
      <w:pPr>
        <w:pStyle w:val="ListNumber"/>
        <w:numPr>
          <w:ilvl w:val="0"/>
          <w:numId w:val="10"/>
        </w:numPr>
      </w:pPr>
      <w:r>
        <w:t>Где проходит граница с учётом документов, природных и искусственных ориентиров и длительного фактического пользования?</w:t>
      </w:r>
    </w:p>
    <w:p>
      <w:pPr>
        <w:pStyle w:val="ListNumber"/>
        <w:numPr>
          <w:ilvl w:val="0"/>
          <w:numId w:val="10"/>
        </w:numPr>
      </w:pPr>
      <w:r>
        <w:t>Какие варианты устранения наложения технически возможны без нарушения прав иных лиц?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Назначить землеустроительную экспертизу в [организация / на усмотрение суда].</w:t>
      </w:r>
    </w:p>
    <w:p>
      <w:pPr>
        <w:pStyle w:val="ListNumber"/>
        <w:numPr>
          <w:ilvl w:val="0"/>
          <w:numId w:val="10"/>
        </w:numPr>
      </w:pPr>
      <w:r>
        <w:t>Предоставить эксперту материалы и обеспечить доступ к обоим участкам.</w:t>
      </w:r>
    </w:p>
    <w:p>
      <w:pPr>
        <w:pStyle w:val="ListNumber"/>
        <w:numPr>
          <w:ilvl w:val="0"/>
          <w:numId w:val="10"/>
        </w:numPr>
      </w:pPr>
      <w:r>
        <w:t>Определить предварительную оплату и срок внесения денег на депозит суда.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ставьте вопрос «кто захватил землю» или «кому принадлежит полоса»: это правовая оценка суда.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выписки ЕГРН;</w:t>
      </w:r>
    </w:p>
    <w:p>
      <w:pPr>
        <w:pStyle w:val="ListBullet"/>
        <w:numPr>
          <w:ilvl w:val="0"/>
          <w:numId w:val="11"/>
        </w:numPr>
      </w:pPr>
      <w:r>
        <w:t>межевые планы и землеустроительные дела;</w:t>
      </w:r>
    </w:p>
    <w:p>
      <w:pPr>
        <w:pStyle w:val="ListBullet"/>
        <w:numPr>
          <w:ilvl w:val="0"/>
          <w:numId w:val="11"/>
        </w:numPr>
      </w:pPr>
      <w:r>
        <w:t>правоустанавливающие документы;</w:t>
      </w:r>
    </w:p>
    <w:p>
      <w:pPr>
        <w:pStyle w:val="ListBullet"/>
        <w:numPr>
          <w:ilvl w:val="0"/>
          <w:numId w:val="11"/>
        </w:numPr>
      </w:pPr>
      <w:r>
        <w:t>схемы и фото;</w:t>
      </w:r>
    </w:p>
    <w:p>
      <w:pPr>
        <w:pStyle w:val="ListBullet"/>
        <w:numPr>
          <w:ilvl w:val="0"/>
          <w:numId w:val="11"/>
        </w:numPr>
      </w:pPr>
      <w:r>
        <w:t>предложение эксперта — при наличии;</w:t>
      </w:r>
    </w:p>
    <w:p>
      <w:pPr>
        <w:pStyle w:val="ListBullet"/>
        <w:numPr>
          <w:ilvl w:val="0"/>
          <w:numId w:val="11"/>
        </w:numPr>
      </w:pPr>
      <w:r>
        <w:t>копии ходатайства.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35, 56–57, 79–80, 85–87, 94, 96 ГПК РФ; Федеральный закон № 73-ФЗ; Федеральный закон № 218-ФЗ.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