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патента недействительным (Палата по патентным спорам)</w:t>
      </w:r>
    </w:p>
    <w:p>
      <w:r>
        <w:t xml:space="preserve">Патент № ___, выданный [наименование патентообладателя] на [изобретение / полезную модель / промышленный образец], не соответствует условиям патентоспособности:</w:t>
      </w:r>
    </w:p>
    <w:p>
      <w:r>
        <w:t xml:space="preserve">— отсутствует НОВИЗНА: до даты приоритета решение уже было раскрыто в источнике [публикация, патент, продажа, выставка];
— отсутствует ИЗОБРЕТАТЕЛЬСКИЙ УРОВЕНЬ: решение очевидно для специалиста из уровня техники;
— патент получен с нарушением: [заявка подана не автором / нарушено право приоритета / в формулу включены признаки, не раскрытые в описании];
— промышленный образец не является новым и оригинальным.</w:t>
      </w:r>
    </w:p>
    <w:p>
      <w:r>
        <w:t xml:space="preserve">Согласно ст. 1398 ГК РФ, патент может быть признан недействительным полностью или частично по возражению любого лица.</w:t>
      </w:r>
    </w:p>
    <w:p/>
    <w:p>
      <w:r>
        <w:t xml:space="preserve">На основании изложенного, руководствуясь ст. 1398, 1399 ГК РФ, ст. 1350–1352 ГК РФ (условия патентоспособности),</w:t>
      </w:r>
    </w:p>
    <w:p>
      <w:r>
        <w:rPr>
          <w:b/>
          <w:bCs/>
        </w:rPr>
        <w:t xml:space="preserve">ПРОШУ:</w:t>
      </w:r>
    </w:p>
    <w:p>
      <w:r>
        <w:t xml:space="preserve">1. Признать патент № ___ недействительным полностью (или в части пунктов формулы).</w:t>
      </w:r>
    </w:p>
    <w:p>
      <w:r>
        <w:t xml:space="preserve">2. Учесть представленные источники уровня техники.</w:t>
      </w:r>
    </w:p>
    <w:p>
      <w:r>
        <w:t xml:space="preserve">3. Взыскать расходы на ведение дела.</w:t>
      </w:r>
    </w:p>
    <w:p/>
    <w:p>
      <w:r>
        <w:t xml:space="preserve">Приложения:</w:t>
      </w:r>
    </w:p>
    <w:p>
      <w:r>
        <w:t xml:space="preserve">1. патент и формула</w:t>
      </w:r>
    </w:p>
    <w:p>
      <w:r>
        <w:t xml:space="preserve">2. источники уровня техники (публикации, патенты, каталоги, даты ДО приоритета)</w:t>
      </w:r>
    </w:p>
    <w:p>
      <w:r>
        <w:t xml:space="preserve">3. сравнительный анализ признаков</w:t>
      </w:r>
    </w:p>
    <w:p>
      <w:r>
        <w:t xml:space="preserve">4. копия возражения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Палата по патентным спорам Роспатента (внесудебно); обжалование — СИП.</w:t>
      </w:r>
    </w:p>
    <w:p>
      <w:r>
        <w:rPr>
          <w:i/>
          <w:iCs/>
          <w:sz w:val="18"/>
          <w:szCs w:val="18"/>
        </w:rPr>
        <w:t xml:space="preserve">• Новизна: решение не должно быть известно из уровня техники ДО даты приоритета.</w:t>
      </w:r>
    </w:p>
    <w:p>
      <w:r>
        <w:rPr>
          <w:i/>
          <w:iCs/>
          <w:sz w:val="18"/>
          <w:szCs w:val="18"/>
        </w:rPr>
        <w:t xml:space="preserve">• Любое лицо вправе подать возражение в течение всего срока действия патента.</w:t>
      </w:r>
    </w:p>
    <w:p>
      <w:r>
        <w:rPr>
          <w:i/>
          <w:iCs/>
          <w:sz w:val="18"/>
          <w:szCs w:val="18"/>
        </w:rPr>
        <w:t xml:space="preserve">• Частая тактика защиты от иска о нарушении: одновременно подать возражение о недействительности патента.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фиксированная за подачу возражения.</w:t>
      </w:r>
    </w:p>
    <w:p>
      <w:r>
        <w:rPr>
          <w:i/>
          <w:iCs/>
          <w:sz w:val="18"/>
          <w:szCs w:val="18"/>
        </w:rPr>
        <w:t xml:space="preserve">• Связанные документы: [intellekt-patent-kompensaciya]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2026-08-17T06:35:36.482Z</dcterms:created>
  <dcterms:modified xsi:type="dcterms:W3CDTF">2026-08-17T06:35:36.482Z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