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товарного знака общеизвестным</w:t>
      </w:r>
    </w:p>
    <w:p>
      <w:r>
        <w:t xml:space="preserve">Мой товарный знак [описание] № ___ (или используемое обозначение без регистрации) в результате интенсивного использования стал широко известен в Российской Федерации среди потребителей соответствующих товаров.</w:t>
      </w:r>
    </w:p>
    <w:p>
      <w:r>
        <w:t xml:space="preserve">Доказательства известности:
— длительность и география использования ([X] лет по всей РФ);
— объёмы производства и реализации товаров;
— расходы на рекламу;
— степень узнаваемости по социологическим опросам ([X]% респондентов);
— публикации в СМИ, рейтинги.</w:t>
      </w:r>
    </w:p>
    <w:p>
      <w:r>
        <w:t xml:space="preserve">Согласно ст. 1508 ГК РФ, обозначение, ставшее широко известным в результате интенсивного использования, признаётся общеизвестным ТЗ с бессрочной охраной.</w:t>
      </w:r>
    </w:p>
    <w:p/>
    <w:p>
      <w:r>
        <w:t xml:space="preserve">На основании изложенного, руководствуясь ст. 1508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товарный знак [описание] общеизвестным в Российской Федерации.</w:t>
      </w:r>
    </w:p>
    <w:p>
      <w:r>
        <w:t xml:space="preserve">2. Внести запись в Перечень общеизвестных товарных знаков.</w:t>
      </w:r>
    </w:p>
    <w:p>
      <w:r>
        <w:t xml:space="preserve">3. Установить дату приоритета: [дата начала интенсивного использования].</w:t>
      </w:r>
    </w:p>
    <w:p/>
    <w:p>
      <w:r>
        <w:t xml:space="preserve">Приложения:</w:t>
      </w:r>
    </w:p>
    <w:p>
      <w:r>
        <w:t xml:space="preserve">1. доказательства интенсивного использования</w:t>
      </w:r>
    </w:p>
    <w:p>
      <w:r>
        <w:t xml:space="preserve">2. социологические опросы узнаваемости</w:t>
      </w:r>
    </w:p>
    <w:p>
      <w:r>
        <w:t xml:space="preserve">3. финансовые показатели (объёмы, реклама)</w:t>
      </w:r>
    </w:p>
    <w:p>
      <w:r>
        <w:t xml:space="preserve">4. публикации, рейтинги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Общеизвестный ТЗ охраняется БЕССРОЧНО и в отношении ВСЕХ товаров (не только однородных) — усиленная защита.</w:t>
      </w:r>
    </w:p>
    <w:p>
      <w:r>
        <w:rPr>
          <w:i/>
          <w:iCs/>
          <w:sz w:val="18"/>
          <w:szCs w:val="18"/>
        </w:rPr>
        <w:t xml:space="preserve">• Подать может как правообладатель зарегистрированного ТЗ, так и пользователь незарегистрированного обозначения.</w:t>
      </w:r>
    </w:p>
    <w:p>
      <w:r>
        <w:rPr>
          <w:i/>
          <w:iCs/>
          <w:sz w:val="18"/>
          <w:szCs w:val="18"/>
        </w:rPr>
        <w:t xml:space="preserve">• После признания запись вносится в Перечень общеизвестных ТЗ Роспатента.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высокая фиксированная.</w:t>
      </w:r>
    </w:p>
    <w:p>
      <w:r>
        <w:rPr>
          <w:i/>
          <w:iCs/>
          <w:sz w:val="18"/>
          <w:szCs w:val="18"/>
        </w:rPr>
        <w:t xml:space="preserve">• Связанные документы: [intellekt-tz-compensaciya]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2026-08-17T06:35:36.355Z</dcterms:created>
  <dcterms:modified xsi:type="dcterms:W3CDTF">2026-08-17T06:35:36.355Z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