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запрете использования обозначения, сходного до степени смешения с товарным знаком</w:t>
      </w:r>
    </w:p>
    <w:p>
      <w:r>
        <w:t xml:space="preserve">Я являюсь правообладателем товарного знака № ___.</w:t>
      </w:r>
    </w:p>
    <w:p>
      <w:r>
        <w:t xml:space="preserve">Ответчик использует в отношении однородных товаров обозначение, сходное до степени смешения с моим ТЗ:
— [описание сходства: фонетическое, графическое, смысловое];
— товары ответчика однородны моим (та же сфера, тот же потребитель);
— сходство может ввести потребителя в заблуждение относительно источника товара.</w:t>
      </w:r>
    </w:p>
    <w:p>
      <w:r>
        <w:t xml:space="preserve">Согласно п. 3 ст. 1484 ГК РФ, правообладатель вправе запрещать использование сходных до степени смешения обозначений. Степень смешения определяется судом с учётом мнения потребителей.</w:t>
      </w:r>
    </w:p>
    <w:p/>
    <w:p>
      <w:r>
        <w:t xml:space="preserve">На основании изложенного, руководствуясь п. 3 ст. 1484 ГК РФ, ст. 1515 ГК РФ,</w:t>
      </w:r>
    </w:p>
    <w:p>
      <w:r>
        <w:rPr>
          <w:b/>
          <w:bCs/>
        </w:rPr>
        <w:t xml:space="preserve">ПРОШУ:</w:t>
      </w:r>
    </w:p>
    <w:p>
      <w:r>
        <w:t xml:space="preserve">1. Запретить ответчику использование обозначения [описание] в отношении товаров [классы МКТУ].</w:t>
      </w:r>
    </w:p>
    <w:p>
      <w:r>
        <w:t xml:space="preserve">2. Взыскать компенсацию за нарушение исключительного права (ст. 1515 ГК РФ) в размере [сумма] руб.</w:t>
      </w:r>
    </w:p>
    <w:p>
      <w:r>
        <w:t xml:space="preserve">3. Изъять контрафактный товар.</w:t>
      </w:r>
    </w:p>
    <w:p>
      <w:r>
        <w:t xml:space="preserve">4. Назначить социологическую экспертизу о степени смешения.</w:t>
      </w:r>
    </w:p>
    <w:p/>
    <w:p>
      <w:r>
        <w:t xml:space="preserve">Приложения:</w:t>
      </w:r>
    </w:p>
    <w:p>
      <w:r>
        <w:t xml:space="preserve">1. свидетельство на ТЗ</w:t>
      </w:r>
    </w:p>
    <w:p>
      <w:r>
        <w:t xml:space="preserve">2. сравнительные образцы (мой ТЗ и обозначение ответчика)</w:t>
      </w:r>
    </w:p>
    <w:p>
      <w:r>
        <w:t xml:space="preserve">3. доказательства однородности товаров</w:t>
      </w:r>
    </w:p>
    <w:p>
      <w:r>
        <w:t xml:space="preserve">4. заключение эксперта-лингвиста/дизайнера о сходстве</w:t>
      </w:r>
    </w:p>
    <w:p>
      <w:r>
        <w:t xml:space="preserve">5. социологическая экспертиза (при необходимости)</w:t>
      </w:r>
    </w:p>
    <w:p>
      <w:r>
        <w:t xml:space="preserve">6.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Сходство устанавливается экспертизой: фонетическое, графическое, смысловое. Определяется «в целом», а не по отдельным элементам.</w:t>
      </w:r>
    </w:p>
    <w:p>
      <w:r>
        <w:rPr>
          <w:i/>
          <w:iCs/>
          <w:sz w:val="18"/>
          <w:szCs w:val="18"/>
        </w:rPr>
        <w:t xml:space="preserve">• Однородность товаров: та же сфера, потребитель, каналы сбыта (п. 16 Постановления Пленума ВС РФ от 23.04.2019 № 10).</w:t>
      </w:r>
    </w:p>
    <w:p>
      <w:r>
        <w:rPr>
          <w:i/>
          <w:iCs/>
          <w:sz w:val="18"/>
          <w:szCs w:val="18"/>
        </w:rPr>
        <w:t xml:space="preserve">• Социологическая экспертиза — ключевое доказательство смешения у потребителя.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[intellekt-tz-compensaciya]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2026-08-17T06:35:36.291Z</dcterms:created>
  <dcterms:modified xsi:type="dcterms:W3CDTF">2026-08-17T06:35:36.291Z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