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 w:before="0"/>
        <w:jc w:val="right"/>
      </w:pPr>
      <w:r>
        <w:rPr>
          <w:rFonts w:ascii="Arial" w:hAnsi="Arial"/>
          <w:b w:val="0"/>
          <w:sz w:val="18"/>
        </w:rPr>
        <w:t>В Арбитражный суд [субъекта РФ]</w:t>
        <w:br/>
        <w:t>Истец:</w:t>
        <w:br/>
        <w:t>если ИП — [Ф.И.О., дата и место рождения, адрес, дата и место госрегистрации ИП, ИНН, ОГРНИП, один идентификатор, телефон, e-mail];</w:t>
        <w:br/>
        <w:t>если организация — [наименование, адрес, ИНН, ОГРН, телефон, e-mail]</w:t>
        <w:br/>
        <w:br/>
        <w:t>Ответчик:</w:t>
        <w:br/>
        <w:t>если ИП/гражданин — [Ф.И.О., дата и место рождения (если известны), адрес, место работы (если известно), ИНН/ОГРНИП или иной известный идентификатор];</w:t>
        <w:br/>
        <w:t>если организация — [наименование, адрес, ИНН, ОГРН, телефон/e-mail если известны]</w:t>
        <w:br/>
        <w:br/>
        <w:t>Цена иска: [___]</w:t>
        <w:br/>
        <w:t>Госпошлина: [рассчитать по НК РФ]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ИСКОВОЕ ЗАЯВЛЕНИЕ</w:t>
        <w:br/>
        <w:t>о взыскании оплаты за созданный по заказу результат и процентов</w:t>
      </w:r>
    </w:p>
    <w:p>
      <w:pPr>
        <w:pStyle w:val="Heading2"/>
      </w:pPr>
      <w:r>
        <w:t>Досудебный порядок и подсудность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Этот вариант используется, когда спор относится к компетенции арбитражного суда. Проверить договорную и территориальную подсудность. Для денежного требования из договора, другой сделки или неосновательного обогащения по общему правилу ч. 5 ст. 4 АПК РФ обратиться в суд можно после принятия мер досудебного урегулирования и по истечении 30 календарных дней со дня направления претензии, если иной срок и (или) порядок не установлены законом или договором. К иску приложить доказательства направления претензии и истечения применимого срока.</w:t>
      </w:r>
    </w:p>
    <w:p>
      <w:pPr>
        <w:pStyle w:val="Heading2"/>
      </w:pPr>
      <w:r>
        <w:t>Описательная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Истец по заданию Ответчика создал [макет/текст/логотип] по условиям [договор/переписка/ТЗ]. Цена — [___] руб. Результат передан [дата], принят/используется Ответчиком [___]. Неоплаченная сумма — [___] руб. Претензия от [дата] получена Ответчиком [дата], требование не исполнено.</w:t>
      </w:r>
    </w:p>
    <w:p>
      <w:pPr>
        <w:pStyle w:val="Heading2"/>
      </w:pPr>
      <w:r>
        <w:t>Мотивировочная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По ст. 309 ГК РФ обязательства исполняются надлежащим образом, а при просрочке денежного обязательства при наличии оснований применяется ст. 395 ГК РФ. Правовую природу договора на создание результата определять по фактам. Если Истец — автор-ИП, лично создавший произведение, применяется ст. 1288 ГК РФ. Если Истец — организация либо иной подрядчик/исполнитель, который сам автором не является, ст. 1288 к нему как к «автору» не применяется: при договоре, предметом которого было создание произведения, проверяется ст. 1296 ГК РФ, а при создании произведения в ходе исполнения договора, прямо не предусматривавшего его создание, — ст. 1297 ГК РФ. Условия об исключительном праве не подменяют самостоятельную обязанность оплатить работы, если такая обязанность доказана.</w:t>
      </w:r>
    </w:p>
    <w:p>
      <w:pPr>
        <w:pStyle w:val="Heading2"/>
      </w:pPr>
      <w:r>
        <w:t>Просительная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Прошу суд: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Взыскать с Ответчика основной долг в размере [___] руб.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Взыскать проценты по ст. 395 ГК РФ в размере [___] руб. по дату расчёта и далее по день фактической оплаты — если применимо.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Взыскать судебные расходы, включая госпошлину [и разумные представительские расходы — при наличии].</w:t>
      </w:r>
    </w:p>
    <w:p>
      <w:pPr>
        <w:pStyle w:val="Heading2"/>
      </w:pPr>
      <w:r>
        <w:t>Приложения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Документы о направлении Ответчику копии иска и приложений.</w:t>
        <w:br/>
        <w:t>2. Договор/оферта/переписка и ТЗ.</w:t>
        <w:br/>
        <w:t>3. Доказательства передачи и использования результата.</w:t>
        <w:br/>
        <w:t>4. Претензия и доказательство получения.</w:t>
        <w:br/>
        <w:t>5. Расчёт долга и процентов.</w:t>
        <w:br/>
        <w:t>6. Документ об уплате госпошлины.</w:t>
        <w:br/>
        <w:t>7. Выписки ЕГРИП/ЕГРЮЛ или сведения о сторонах — при необходимости.</w:t>
        <w:br/>
        <w:t>8. Доверенность представителя.</w:t>
        <w:br/>
        <w:t>9. Иные доказательства.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Истец: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