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/ районный суд по месту нахождения ответчика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к букмекерской конторе о взыскании невыплаченного выигрыша</w:t>
      </w:r>
    </w:p>
    <w:p>
      <w:r>
        <w:t xml:space="preserve">«___» ________ 20__ г. я заключил(а) пари (ставку) с букмекерской конторой (организатором азартных игр) [наименование, ИНН, номер лицензии ФНС], зарегистрированной в едином реестре организаторов азартных игр (букмекерских контор), с использованием Единого центра учёта переводов ставок (ЦУПИС), что подтверждается [квитанция / номер ставки / скриншот истории операций].</w:t>
      </w:r>
    </w:p>
    <w:p>
      <w:r>
        <w:t xml:space="preserve">Пари признано выигравшим в соответствии с правилами приёма ставок ответчика, что подтверждается [результат события, расчёт коэффициента, скриншот истории ставок].</w:t>
      </w:r>
    </w:p>
    <w:p>
      <w:r>
        <w:t xml:space="preserve">В соответствии с п. 4 ст. 1063 ГК РФ выигрыш подлежит выплате не позднее десяти дней с момента определения результатов игр, если иной срок не установлен правилами. Ответчик выигрыш в установленный срок не выплатил, счёт (личный кабинет) заблокирован без обоснования / выплата отклонена по причине: [указать причину отказа ответчика, если она была сообщена].</w:t>
      </w:r>
    </w:p>
    <w:p/>
    <w:p>
      <w:r>
        <w:t xml:space="preserve">На основании изложенного, руководствуясь п. 4, 5 ст. 1063 ГК РФ, Федеральный закон № 244-ФЗ «О государственном регулировании деятельности по организации и проведению азартных игр»,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сумму невыплаченного выигрыша в размере [сумма] руб.</w:t>
      </w:r>
    </w:p>
    <w:p>
      <w:r>
        <w:t xml:space="preserve">2. Взыскать проценты за пользование чужими денежными средствами по ст. 395 ГК РФ за период с [дата] по дату фактического исполнения</w:t>
      </w:r>
    </w:p>
    <w:p>
      <w:r>
        <w:t xml:space="preserve">3. Взыскать судебные расходы</w:t>
      </w:r>
    </w:p>
    <w:p/>
    <w:p>
      <w:r>
        <w:t xml:space="preserve">Приложения:</w:t>
      </w:r>
    </w:p>
    <w:p>
      <w:r>
        <w:t xml:space="preserve">1. квитанция о приёме ставки / выписка из ЦУПИС</w:t>
      </w:r>
    </w:p>
    <w:p>
      <w:r>
        <w:t xml:space="preserve">2. скриншоты истории операций и статуса пари</w:t>
      </w:r>
    </w:p>
    <w:p>
      <w:r>
        <w:t xml:space="preserve">3. правила приёма ставок ответчика (действовавшие на дату заключения пари)</w:t>
      </w:r>
    </w:p>
    <w:p>
      <w:r>
        <w:t xml:space="preserve">4. переписка со службой поддержки, ответ (отказ) ответчика при наличии</w:t>
      </w:r>
    </w:p>
    <w:p>
      <w:r>
        <w:t xml:space="preserve">5. копия претензии и доказательства её направления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Ключевое условие для защиты в суде: организатор должен иметь лицензию, выданную ФНС России, и быть включённым в реестр организаторов азартных игр (букмекерских контор). Требования к нелицензированным (в т. ч. зарубежным) организаторам судебной защите не подлежат (п. 1 ст. 1062 ГК РФ).</w:t>
      </w:r>
    </w:p>
    <w:p>
      <w:r>
        <w:rPr>
          <w:i/>
          <w:iCs/>
          <w:sz w:val="18"/>
          <w:szCs w:val="18"/>
        </w:rPr>
        <w:t xml:space="preserve">• Ставки должны проходить через ЦУПИС — это подтверждает личность игрока и сам факт заключения пари; сохраняйте доступ к истории операций в личном кабинете ЦУПИС.</w:t>
      </w:r>
    </w:p>
    <w:p>
      <w:r>
        <w:rPr>
          <w:i/>
          <w:iCs/>
          <w:sz w:val="18"/>
          <w:szCs w:val="18"/>
        </w:rPr>
        <w:t xml:space="preserve">• Букмекер вправе по своим правилам аннулировать пари или изменить коэффициент при обоснованном подозрении в нарушении правил приёма ставок (например, признаки договорного матча) — суды нередко встают на сторону букмекера в таких спорах, если это прямо предусмотрено правилами.</w:t>
      </w:r>
    </w:p>
    <w:p>
      <w:r>
        <w:rPr>
          <w:i/>
          <w:iCs/>
          <w:sz w:val="18"/>
          <w:szCs w:val="18"/>
        </w:rPr>
        <w:t xml:space="preserve">• Срок исковой давности — 3 года с момента, когда выигрыш должен был быть выплачен.</w:t>
      </w:r>
    </w:p>
    <w:p>
      <w:r>
        <w:rPr>
          <w:i/>
          <w:iCs/>
          <w:sz w:val="18"/>
          <w:szCs w:val="18"/>
        </w:rPr>
        <w:t xml:space="preserve">• Подсудность определяется по общим правилам ГПК РФ — по месту нахождения ответчика (юридический адрес организатора).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2026-08-22T02:51:52.576Z</dcterms:created>
  <dcterms:modified xsi:type="dcterms:W3CDTF">2026-08-22T02:51:52.576Z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