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DocumentTitle"/>
      </w:pPr>
      <w:r>
        <w:t>Иск о взыскании части ипотечных платежей, внесённых после прекращения семейных отношений</w:t>
      </w:r>
    </w:p>
    <w:p>
      <w:pPr>
        <w:spacing w:after="40"/>
      </w:pPr>
      <w:r>
        <w:rPr>
          <w:b/>
          <w:color w:val="676767"/>
        </w:rPr>
        <w:t>Категория: Иски  •  Статья сайта: №285</w:t>
      </w:r>
    </w:p>
    <w:p>
      <w:pPr>
        <w:spacing w:after="160"/>
      </w:pPr>
      <w:r>
        <w:rPr>
          <w:b/>
          <w:color w:val="676767"/>
          <w:sz w:val="19"/>
        </w:rPr>
        <w:t>Структура: ИСК ПО ГПК РФ: вводная • описательная • мотивировочная • просительная • приложения  •  Статус: НОВЫЙ</w:t>
      </w:r>
    </w:p>
    <w:tbl>
      <w:tblPr>
        <w:tblW w:type="dxa" w:w="9360"/>
        <w:jc w:val="center"/>
        <w:tblLayout w:type="fixed"/>
        <w:tblLook w:firstColumn="1" w:firstRow="1" w:lastColumn="0" w:lastRow="0" w:noHBand="0" w:noVBand="1" w:val="04A0"/>
        <w:tblInd w:w="120" w:type="dxa"/>
      </w:tblPr>
      <w:tblGrid>
        <w:gridCol w:w="9360"/>
      </w:tblGrid>
      <w:tr>
        <w:trPr>
          <w:cantSplit/>
        </w:trPr>
        <w:tc>
          <w:tcPr>
            <w:tcW w:type="dxa" w:w="9360"/>
            <w:vAlign w:val="center"/>
            <w:shd w:fill="F5F0E4"/>
            <w:tcBorders>
              <w:top w:val="single" w:sz="8" w:space="0" w:color="8F2B24"/>
              <w:left w:val="single" w:sz="8" w:space="0" w:color="8F2B24"/>
              <w:bottom w:val="single" w:sz="8" w:space="0" w:color="8F2B24"/>
              <w:right w:val="single" w:sz="8" w:space="0" w:color="8F2B24"/>
              <w:insideH w:val="single" w:sz="8" w:space="0" w:color="8F2B24"/>
              <w:insideV w:val="single" w:sz="8" w:space="0" w:color="8F2B24"/>
            </w:tcBorders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76" w:lineRule="auto"/>
            </w:pPr>
            <w:r>
              <w:rPr>
                <w:b/>
                <w:color w:val="6E211D"/>
              </w:rPr>
              <w:t xml:space="preserve">Когда использовать. </w:t>
            </w:r>
            <w:r>
              <w:rPr>
                <w:color w:val="14213D"/>
              </w:rPr>
              <w:t>Подаётся одним бывшим супругом к другому, если после фактического прекращения семьи он один погашал общий ипотечный долг. Не заменяет раздел квартиры и не изменяет кредитный договор с банком.</w:t>
            </w:r>
          </w:p>
        </w:tc>
      </w:tr>
    </w:tbl>
    <w:p>
      <w:pPr>
        <w:pStyle w:val="Heading2"/>
      </w:pPr>
      <w:r>
        <w:t>Куда и от кого</w:t>
      </w:r>
    </w:p>
    <w:p>
      <w:pPr>
        <w:spacing w:after="40"/>
        <w:jc w:val="right"/>
      </w:pPr>
      <w:r>
        <w:rPr>
          <w:color w:val="14213D"/>
          <w:sz w:val="20"/>
        </w:rPr>
        <w:t>В районный суд / мировому судье [проверить статьи 23–24, 28 ГПК РФ и цену иска]</w:t>
      </w:r>
    </w:p>
    <w:p>
      <w:pPr>
        <w:spacing w:after="40"/>
        <w:jc w:val="left"/>
      </w:pPr>
      <w:r>
        <w:rPr>
          <w:color w:val="14213D"/>
          <w:sz w:val="20"/>
        </w:rPr>
        <w:t>Истец: [все реквизиты по статье 131 ГПК РФ]</w:t>
      </w:r>
    </w:p>
    <w:p>
      <w:pPr>
        <w:spacing w:after="40"/>
        <w:jc w:val="left"/>
      </w:pPr>
      <w:r>
        <w:rPr>
          <w:color w:val="14213D"/>
          <w:sz w:val="20"/>
        </w:rPr>
        <w:t>Ответчик: [бывший супруг, адрес, идентификатор]</w:t>
      </w:r>
    </w:p>
    <w:p>
      <w:pPr>
        <w:spacing w:after="40"/>
        <w:jc w:val="left"/>
      </w:pPr>
      <w:r>
        <w:rPr>
          <w:color w:val="14213D"/>
          <w:sz w:val="20"/>
        </w:rPr>
        <w:t>Третье лицо: [банк — при необходимости]</w:t>
      </w:r>
    </w:p>
    <w:p>
      <w:pPr>
        <w:spacing w:after="40"/>
        <w:jc w:val="left"/>
      </w:pPr>
      <w:r>
        <w:rPr>
          <w:color w:val="14213D"/>
          <w:sz w:val="20"/>
        </w:rPr>
        <w:t>Цена иска: [требуемая доля платежей + проценты]</w:t>
      </w:r>
    </w:p>
    <w:p>
      <w:pPr>
        <w:spacing w:after="40"/>
        <w:jc w:val="left"/>
      </w:pPr>
      <w:r>
        <w:rPr>
          <w:color w:val="14213D"/>
          <w:sz w:val="20"/>
        </w:rPr>
        <w:t>Госпошлина: [расчёт по статье 333.19 НК РФ]</w:t>
      </w:r>
    </w:p>
    <w:p>
      <w:pPr>
        <w:pStyle w:val="Heading1"/>
      </w:pPr>
      <w:r>
        <w:t>ИСКОВОЕ ЗАЯВЛЕНИЕ О ВЗЫСКАНИИ ЧАСТИ ПЛАТЕЖЕЙ ПО ОБЩЕМУ ИПОТЕЧНОМУ ОБЯЗАТЕЛЬСТВУ</w:t>
      </w:r>
    </w:p>
    <w:p>
      <w:pPr>
        <w:pStyle w:val="Heading2"/>
      </w:pPr>
      <w:r>
        <w:t>ОПИСАТЕЛЬНАЯ ЧАСТЬ</w:t>
      </w:r>
    </w:p>
    <w:p>
      <w:r>
        <w:t>Стороны состояли в браке с [дата] по [дата]. Квартира [адрес] приобретена в браке по кредиту № [номер] для семейных нужд. Семейные отношения и общий бюджет прекращены [дата], что подтверждается [доказательства].</w:t>
      </w:r>
    </w:p>
    <w:p>
      <w:r>
        <w:t>С [дата] по [дата] истец из личных после прекращения семьи средств внёс банку [сумма] руб.: основной долг [сумма], проценты [сумма], иные платежи [сумма]. Ответчик участия не принимал. Требуемая с него доля — [сумма] по расчёту. Претензия от [дата] не исполнена.</w:t>
      </w:r>
    </w:p>
    <w:p>
      <w:pPr>
        <w:pStyle w:val="Heading2"/>
      </w:pPr>
      <w:r>
        <w:t>МОТИВИРОВОЧНАЯ ЧАСТЬ</w:t>
      </w:r>
    </w:p>
    <w:p>
      <w:r>
        <w:t>Общие долги распределяются пропорционально присуждённым долям, а исполнивший общее обязательство сверх своей доли вправе требовать соответствующее возмещение при доказанности общего характера долга и источника платежей. Сам факт развода не изменяет обязательств перед банком и режим квартиры.</w:t>
      </w:r>
    </w:p>
    <w:p>
      <w:pPr>
        <w:pStyle w:val="Heading2"/>
      </w:pPr>
      <w:r>
        <w:t>ПРОСИТЕЛЬНАЯ ЧАСТЬ</w:t>
      </w:r>
    </w:p>
    <w:p>
      <w:r>
        <w:t>На основании статей 34, 38–39 и 45 СК РФ, статей 309, 325 и 1102 ГК РФ, статей 23–24, 28, 56, 91, 131–132 ГПК РФ ПРОШУ:</w:t>
      </w:r>
    </w:p>
    <w:p>
      <w:pPr>
        <w:pStyle w:val="ListNumber"/>
        <w:numPr>
          <w:ilvl w:val="0"/>
          <w:numId w:val="10"/>
        </w:numPr>
      </w:pPr>
      <w:r>
        <w:t>Взыскать с ответчика часть ипотечных платежей за период [даты] в сумме [сумма] руб.</w:t>
      </w:r>
    </w:p>
    <w:p>
      <w:pPr>
        <w:pStyle w:val="ListNumber"/>
        <w:numPr>
          <w:ilvl w:val="0"/>
          <w:numId w:val="10"/>
        </w:numPr>
      </w:pPr>
      <w:r>
        <w:t>Взыскать проценты по статье 395 ГК РФ [сумма] руб. — если подтверждены основание и период просрочки.</w:t>
      </w:r>
    </w:p>
    <w:p>
      <w:pPr>
        <w:pStyle w:val="ListNumber"/>
        <w:numPr>
          <w:ilvl w:val="0"/>
          <w:numId w:val="10"/>
        </w:numPr>
      </w:pPr>
      <w:r>
        <w:t>Взыскать судебные расходы [перечень, сумма].</w:t>
      </w:r>
    </w:p>
    <w:tbl>
      <w:tblPr>
        <w:tblW w:type="dxa" w:w="9360"/>
        <w:jc w:val="center"/>
        <w:tblLayout w:type="fixed"/>
        <w:tblLook w:firstColumn="1" w:firstRow="1" w:lastColumn="0" w:lastRow="0" w:noHBand="0" w:noVBand="1" w:val="04A0"/>
        <w:tblInd w:w="120" w:type="dxa"/>
      </w:tblPr>
      <w:tblGrid>
        <w:gridCol w:w="9360"/>
      </w:tblGrid>
      <w:tr>
        <w:trPr>
          <w:cantSplit/>
        </w:trPr>
        <w:tc>
          <w:tcPr>
            <w:tcW w:type="dxa" w:w="9360"/>
            <w:vAlign w:val="center"/>
            <w:shd w:fill="F2F4F7"/>
            <w:tcBorders>
              <w:top w:val="single" w:sz="8" w:space="0" w:color="B88A3B"/>
              <w:left w:val="single" w:sz="8" w:space="0" w:color="B88A3B"/>
              <w:bottom w:val="single" w:sz="8" w:space="0" w:color="B88A3B"/>
              <w:right w:val="single" w:sz="8" w:space="0" w:color="B88A3B"/>
              <w:insideH w:val="single" w:sz="8" w:space="0" w:color="B88A3B"/>
              <w:insideV w:val="single" w:sz="8" w:space="0" w:color="B88A3B"/>
            </w:tcBorders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76" w:lineRule="auto"/>
            </w:pPr>
            <w:r>
              <w:rPr>
                <w:color w:val="14213D"/>
              </w:rPr>
              <w:t>Проверьте, не были ли эти платежи уже учтены в деле о разделе имущества или компенсации доли. Повторное взыскание одной суммы недопустимо.</w:t>
            </w:r>
          </w:p>
        </w:tc>
      </w:tr>
    </w:tbl>
    <w:p>
      <w:pPr>
        <w:pStyle w:val="Heading2"/>
      </w:pPr>
      <w:r>
        <w:t>Приложения</w:t>
      </w:r>
    </w:p>
    <w:p>
      <w:pPr>
        <w:pStyle w:val="ListBullet"/>
        <w:numPr>
          <w:ilvl w:val="0"/>
          <w:numId w:val="11"/>
        </w:numPr>
      </w:pPr>
      <w:r>
        <w:t>направление копий;</w:t>
      </w:r>
    </w:p>
    <w:p>
      <w:pPr>
        <w:pStyle w:val="ListBullet"/>
        <w:numPr>
          <w:ilvl w:val="0"/>
          <w:numId w:val="11"/>
        </w:numPr>
      </w:pPr>
      <w:r>
        <w:t>документы о браке и разводе;</w:t>
      </w:r>
    </w:p>
    <w:p>
      <w:pPr>
        <w:pStyle w:val="ListBullet"/>
        <w:numPr>
          <w:ilvl w:val="0"/>
          <w:numId w:val="11"/>
        </w:numPr>
      </w:pPr>
      <w:r>
        <w:t>кредитный договор и выписка ЕГРН;</w:t>
      </w:r>
    </w:p>
    <w:p>
      <w:pPr>
        <w:pStyle w:val="ListBullet"/>
        <w:numPr>
          <w:ilvl w:val="0"/>
          <w:numId w:val="11"/>
        </w:numPr>
      </w:pPr>
      <w:r>
        <w:t>решение / соглашение о разделе — если есть;</w:t>
      </w:r>
    </w:p>
    <w:p>
      <w:pPr>
        <w:pStyle w:val="ListBullet"/>
        <w:numPr>
          <w:ilvl w:val="0"/>
          <w:numId w:val="11"/>
        </w:numPr>
      </w:pPr>
      <w:r>
        <w:t>банковские выписки и квитанции;</w:t>
      </w:r>
    </w:p>
    <w:p>
      <w:pPr>
        <w:pStyle w:val="ListBullet"/>
        <w:numPr>
          <w:ilvl w:val="0"/>
          <w:numId w:val="11"/>
        </w:numPr>
      </w:pPr>
      <w:r>
        <w:t>доказательства даты прекращения общего бюджета;</w:t>
      </w:r>
    </w:p>
    <w:p>
      <w:pPr>
        <w:pStyle w:val="ListBullet"/>
        <w:numPr>
          <w:ilvl w:val="0"/>
          <w:numId w:val="11"/>
        </w:numPr>
      </w:pPr>
      <w:r>
        <w:t>претензия и доставка;</w:t>
      </w:r>
    </w:p>
    <w:p>
      <w:pPr>
        <w:pStyle w:val="ListBullet"/>
        <w:numPr>
          <w:ilvl w:val="0"/>
          <w:numId w:val="11"/>
        </w:numPr>
      </w:pPr>
      <w:r>
        <w:t>расчёт цены иска и процентов;</w:t>
      </w:r>
    </w:p>
    <w:p>
      <w:pPr>
        <w:pStyle w:val="ListBullet"/>
        <w:numPr>
          <w:ilvl w:val="0"/>
          <w:numId w:val="11"/>
        </w:numPr>
      </w:pPr>
      <w:r>
        <w:t>документ о госпошлине;</w:t>
      </w:r>
    </w:p>
    <w:p>
      <w:pPr>
        <w:pStyle w:val="ListBullet"/>
        <w:numPr>
          <w:ilvl w:val="0"/>
          <w:numId w:val="11"/>
        </w:numPr>
      </w:pPr>
      <w:r>
        <w:t>доверенность.</w:t>
      </w:r>
    </w:p>
    <w:tbl>
      <w:tblPr>
        <w:tblW w:type="dxa" w:w="9360"/>
        <w:jc w:val="center"/>
        <w:tblLayout w:type="fixed"/>
        <w:tblLook w:firstColumn="1" w:firstRow="1" w:lastColumn="0" w:lastRow="0" w:noHBand="0" w:noVBand="1" w:val="04A0"/>
        <w:tblInd w:w="120" w:type="dxa"/>
      </w:tblPr>
      <w:tblGrid>
        <w:gridCol w:w="9360"/>
      </w:tblGrid>
      <w:tr>
        <w:trPr>
          <w:cantSplit/>
        </w:trPr>
        <w:tc>
          <w:tcPr>
            <w:tcW w:type="dxa" w:w="9360"/>
            <w:vAlign w:val="center"/>
            <w:shd w:fill="F2F4F7"/>
            <w:tcBorders>
              <w:top w:val="single" w:sz="8" w:space="0" w:color="B88A3B"/>
              <w:left w:val="single" w:sz="8" w:space="0" w:color="B88A3B"/>
              <w:bottom w:val="single" w:sz="8" w:space="0" w:color="B88A3B"/>
              <w:right w:val="single" w:sz="8" w:space="0" w:color="B88A3B"/>
              <w:insideH w:val="single" w:sz="8" w:space="0" w:color="B88A3B"/>
              <w:insideV w:val="single" w:sz="8" w:space="0" w:color="B88A3B"/>
            </w:tcBorders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76" w:lineRule="auto"/>
            </w:pPr>
            <w:r>
              <w:rPr>
                <w:b/>
                <w:color w:val="6E211D"/>
              </w:rPr>
              <w:t xml:space="preserve">Правовая основа. </w:t>
            </w:r>
            <w:r>
              <w:rPr>
                <w:color w:val="14213D"/>
              </w:rPr>
              <w:t>статьи 34, 38–39 и 45 СК РФ; статьи 309, 325, 395 и 1102 ГК РФ; статьи 23–24, 28, 56, 91, 131–132 ГПК РФ; статья 333.19 НК РФ.</w:t>
            </w:r>
          </w:p>
        </w:tc>
      </w:tr>
    </w:tbl>
    <w:p>
      <w:pPr>
        <w:spacing w:before="200"/>
      </w:pPr>
      <w:r>
        <w:t>Дата: «___» __________ 20__ г.        Подпись: ____________ / [ФИО] /</w:t>
      </w:r>
    </w:p>
    <w:p>
      <w:pPr>
        <w:pStyle w:val="SmallNote"/>
      </w:pPr>
      <w:r>
        <w:t>Образец проверен 29 августа 2026 года. Перед подачей удалите подсказки, заполните факты, адресатов, требования и приложения. При изменении закона, стадии дела или процессуального статуса документ нужно актуализировать.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1440" w:right="1440" w:bottom="1440" w:left="144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right"/>
    </w:pPr>
    <w:r>
      <w:rPr>
        <w:rFonts w:ascii="Calibri" w:hAnsi="Calibri"/>
        <w:color w:val="676767"/>
        <w:sz w:val="18"/>
      </w:rPr>
      <w:fldChar w:fldCharType="begin"/>
      <w:instrText xml:space="preserve">PAGE</w:instrText>
      <w:fldChar w:fldCharType="end"/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spacing w:after="0"/>
      <w:jc w:val="left"/>
      <w:pBdr>
        <w:bottom w:val="single" w:sz="6" w:space="2" w:color="B88A3B"/>
      </w:pBdr>
    </w:pPr>
    <w:r>
      <w:rPr>
        <w:rFonts w:ascii="Calibri" w:hAnsi="Calibri"/>
        <w:color w:val="676767"/>
        <w:sz w:val="17"/>
      </w:rPr>
      <w:t>Юристы в джинсах • образец к статье №285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abstractNum w:abstractNumId="9">
    <w:multiLevelType w:val="singleLevel"/>
    <w:lvl w:ilvl="0">
      <w:start w:val="1"/>
      <w:numFmt w:val="decimal"/>
      <w:lvlText w:val="%1."/>
      <w:suff w:val="tab"/>
      <w:pPr>
        <w:tabs>
          <w:tab w:val="num" w:pos="540"/>
        </w:tabs>
        <w:ind w:left="540" w:hanging="270"/>
        <w:spacing w:after="80" w:line="300" w:lineRule="auto"/>
      </w:pPr>
      <w:rPr>
        <w:color w:val="8F2B24"/>
      </w:rPr>
    </w:lvl>
  </w:abstractNum>
  <w:num w:numId="10">
    <w:abstractNumId w:val="9"/>
  </w:num>
  <w:abstractNum w:abstractNumId="10">
    <w:multiLevelType w:val="singleLevel"/>
    <w:lvl w:ilvl="0">
      <w:start w:val="1"/>
      <w:numFmt w:val="bullet"/>
      <w:lvlText w:val="•"/>
      <w:suff w:val="tab"/>
      <w:pPr>
        <w:tabs>
          <w:tab w:val="num" w:pos="540"/>
        </w:tabs>
        <w:ind w:left="540" w:hanging="270"/>
        <w:spacing w:after="80" w:line="300" w:lineRule="auto"/>
      </w:pPr>
      <w:rPr>
        <w:color w:val="8F2B24"/>
      </w:rPr>
    </w:lvl>
  </w:abstractNum>
  <w:num w:numId="11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before="0" w:after="120" w:line="300" w:lineRule="auto"/>
    </w:pPr>
    <w:rPr>
      <w:rFonts w:ascii="Calibri" w:hAnsi="Calibri"/>
      <w:color w:val="14213D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360" w:after="200"/>
      <w:outlineLvl w:val="0"/>
    </w:pPr>
    <w:rPr>
      <w:rFonts w:asciiTheme="majorHAnsi" w:eastAsiaTheme="majorEastAsia" w:hAnsiTheme="majorHAnsi" w:cstheme="majorBidi" w:ascii="Calibri" w:hAnsi="Calibri"/>
      <w:b/>
      <w:bCs/>
      <w:color w:val="8F2B24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80" w:after="140"/>
      <w:outlineLvl w:val="1"/>
    </w:pPr>
    <w:rPr>
      <w:rFonts w:asciiTheme="majorHAnsi" w:eastAsiaTheme="majorEastAsia" w:hAnsiTheme="majorHAnsi" w:cstheme="majorBidi" w:ascii="Calibri" w:hAnsi="Calibri"/>
      <w:b/>
      <w:bCs/>
      <w:color w:val="8F2B24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100"/>
      <w:outlineLvl w:val="2"/>
    </w:pPr>
    <w:rPr>
      <w:rFonts w:asciiTheme="majorHAnsi" w:eastAsiaTheme="majorEastAsia" w:hAnsiTheme="majorHAnsi" w:cstheme="majorBidi" w:ascii="Calibri" w:hAnsi="Calibri"/>
      <w:b/>
      <w:bCs/>
      <w:color w:val="6E211D"/>
      <w:sz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spacing w:before="0" w:after="80" w:line="300" w:lineRule="auto"/>
      <w:contextualSpacing/>
    </w:pPr>
    <w:rPr>
      <w:rFonts w:ascii="Calibri" w:hAnsi="Calibri"/>
      <w:color w:val="14213D"/>
      <w:sz w:val="22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spacing w:before="0" w:after="80" w:line="300" w:lineRule="auto"/>
      <w:contextualSpacing/>
    </w:pPr>
    <w:rPr>
      <w:rFonts w:ascii="Calibri" w:hAnsi="Calibri"/>
      <w:color w:val="14213D"/>
      <w:sz w:val="22"/>
    </w:r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DocumentTitle">
    <w:name w:val="Document Title"/>
    <w:pPr>
      <w:keepNext/>
      <w:spacing w:before="0" w:after="160"/>
    </w:pPr>
    <w:rPr>
      <w:rFonts w:ascii="Calibri" w:hAnsi="Calibri"/>
      <w:b/>
      <w:color w:val="8F2B24"/>
      <w:sz w:val="44"/>
    </w:rPr>
  </w:style>
  <w:style w:type="paragraph" w:customStyle="1" w:styleId="SmallNote">
    <w:name w:val="Small Note"/>
    <w:pPr>
      <w:spacing w:after="80" w:line="276" w:lineRule="auto"/>
    </w:pPr>
    <w:rPr>
      <w:rFonts w:ascii="Calibri" w:hAnsi="Calibri"/>
      <w:color w:val="676767"/>
      <w:sz w:val="1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