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об устранении нарушений и демонтаже оборудования с крыши или фасада дома</w:t>
      </w:r>
    </w:p>
    <w:p>
      <w:pPr>
        <w:spacing w:after="40"/>
      </w:pPr>
      <w:r>
        <w:rPr>
          <w:b/>
          <w:color w:val="676767"/>
        </w:rPr>
        <w:t>Категория: Иски  •  Статья сайта: №317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собственником либо уполномоченным лицом, когда оборудование занимает или повреждает общее имущество без необходимого основания. Перед иском установите владельца и проверьте исключение для сетей связи, необходимых абоненту-гражданину.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месту нахождения дома</w:t>
      </w:r>
    </w:p>
    <w:p>
      <w:pPr>
        <w:spacing w:after="40"/>
        <w:jc w:val="left"/>
      </w:pPr>
      <w:r>
        <w:rPr>
          <w:color w:val="14213D"/>
          <w:sz w:val="20"/>
        </w:rPr>
        <w:t>Истец: [собственник / уполномоченное лицо, реквизиты по ст. 131 ГПК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[владелец оборудования / лицо, разместившее его, адрес, идентификаторы]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[УК / ТСЖ, орган местного самоуправления, оператор связи — по ситуации]</w:t>
      </w:r>
    </w:p>
    <w:p>
      <w:pPr>
        <w:spacing w:after="40"/>
        <w:jc w:val="left"/>
      </w:pPr>
      <w:r>
        <w:rPr>
          <w:color w:val="14213D"/>
          <w:sz w:val="20"/>
        </w:rPr>
        <w:t>Цена иска: требование неимущественного характера; при убытках — [сумма]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[по действующей редакции НК РФ / льгота]</w:t>
      </w:r>
    </w:p>
    <w:p>
      <w:pPr>
        <w:pStyle w:val="Heading1"/>
      </w:pPr>
      <w:r>
        <w:t>ИСКОВОЕ ЗАЯВЛЕНИЕ ОБ УСТРАНЕНИИ НАРУШЕНИЙ ПРАВА НА ОБЩЕЕ ИМУЩЕСТВО И ДЕМОНТАЖЕ ОБОРУДОВАНИЯ</w:t>
      </w:r>
    </w:p>
    <w:p>
      <w:pPr>
        <w:pStyle w:val="Heading2"/>
      </w:pPr>
      <w:r>
        <w:t>ОПИСАТЕЛЬНАЯ ЧАСТЬ</w:t>
      </w:r>
    </w:p>
    <w:p>
      <w:r>
        <w:t>Истец является собственником помещения [номер] в доме [адрес]. Ответчик разместил на [крыше / фасаде] оборудование [описание] [дата / период]. Общее имущество используется следующим образом: [площадь, крепления, доступ, кабели].</w:t>
      </w:r>
    </w:p>
    <w:p>
      <w:r>
        <w:t>Размещение нарушает права истца: [повреждение, протечка, шум, ограничение доступа, незаконная передача части общего имущества]. Необходимое решение собрания / договор / разрешение отсутствует либо не охватывает фактическое оборудование, что подтверждается [ответы, протоколы, акт].</w:t>
      </w:r>
    </w:p>
    <w:p>
      <w:r>
        <w:t>Оборудование не относится к сети связи, размещаемой без решения собрания для оказания услуг абоненту-гражданину / специальный порядок нарушен по причинам [конкретно]. Претензия от [дата] не исполнена.</w:t>
      </w:r>
    </w:p>
    <w:p>
      <w:pPr>
        <w:pStyle w:val="Heading2"/>
      </w:pPr>
      <w:r>
        <w:t>МОТИВИРОВОЧНАЯ ЧАСТЬ</w:t>
      </w:r>
    </w:p>
    <w:p>
      <w:r>
        <w:t>Собственник вправе требовать устранения нарушения права, даже если не лишён владения. Крыша и ограждающие конструкции входят в общее имущество; распоряжение ими и предоставление в пользование третьим лицам допускаются только по надлежащему основанию и без нарушения прав собственников.</w:t>
      </w:r>
    </w:p>
    <w:p>
      <w:pPr>
        <w:pStyle w:val="Heading2"/>
      </w:pPr>
      <w:r>
        <w:t>ПРОСИТЕЛЬНАЯ ЧАСТЬ</w:t>
      </w:r>
    </w:p>
    <w:p>
      <w:r>
        <w:t>На основании статей 209, 247, 290 и 304 ГК РФ, статей 36, 44–46 ЖК РФ, статей 24, 30, 56–57, 131–132 ГПК РФ ПРОШУ:</w:t>
      </w:r>
    </w:p>
    <w:p>
      <w:pPr>
        <w:pStyle w:val="ListNumber"/>
        <w:numPr>
          <w:ilvl w:val="0"/>
          <w:numId w:val="10"/>
        </w:numPr>
      </w:pPr>
      <w:r>
        <w:t>Обязать ответчика в срок [срок] демонтировать [точное оборудование] с [место] и освободить общее имущество.</w:t>
      </w:r>
    </w:p>
    <w:p>
      <w:pPr>
        <w:pStyle w:val="ListNumber"/>
        <w:numPr>
          <w:ilvl w:val="0"/>
          <w:numId w:val="10"/>
        </w:numPr>
      </w:pPr>
      <w:r>
        <w:t>Обязать ответчика восстановить кровлю / фасад / герметизацию и устранить перечисленные повреждения по акту [дата].</w:t>
      </w:r>
    </w:p>
    <w:p>
      <w:pPr>
        <w:pStyle w:val="ListNumber"/>
        <w:numPr>
          <w:ilvl w:val="0"/>
          <w:numId w:val="10"/>
        </w:numPr>
      </w:pPr>
      <w:r>
        <w:t>Взыскать убытки [сумма] руб. и судебные расходы [сумма] руб. — если заявлены и подтверждены.</w:t>
      </w:r>
    </w:p>
    <w:p>
      <w:pPr>
        <w:pStyle w:val="ListNumber"/>
        <w:numPr>
          <w:ilvl w:val="0"/>
          <w:numId w:val="10"/>
        </w:numPr>
      </w:pPr>
      <w:r>
        <w:t>Установить судебную неустойку на случай неисполнения решения — если требование заявляется и обосновано.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спор идёт о рекламной конструкции, проверьте муниципальное разрешение и договор с собственниками. Если это сеть связи для абонента, отсутствие протокола собрания само по себе после 6 апреля 2024 года недостаточно для демонтажа.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подтверждение направления иска;</w:t>
      </w:r>
    </w:p>
    <w:p>
      <w:pPr>
        <w:pStyle w:val="ListBullet"/>
        <w:numPr>
          <w:ilvl w:val="0"/>
          <w:numId w:val="11"/>
        </w:numPr>
      </w:pPr>
      <w:r>
        <w:t>выписка ЕГРН истца;</w:t>
      </w:r>
    </w:p>
    <w:p>
      <w:pPr>
        <w:pStyle w:val="ListBullet"/>
        <w:numPr>
          <w:ilvl w:val="0"/>
          <w:numId w:val="11"/>
        </w:numPr>
      </w:pPr>
      <w:r>
        <w:t>документы о составе общего имущества;</w:t>
      </w:r>
    </w:p>
    <w:p>
      <w:pPr>
        <w:pStyle w:val="ListBullet"/>
        <w:numPr>
          <w:ilvl w:val="0"/>
          <w:numId w:val="11"/>
        </w:numPr>
      </w:pPr>
      <w:r>
        <w:t>фото и акт осмотра;</w:t>
      </w:r>
    </w:p>
    <w:p>
      <w:pPr>
        <w:pStyle w:val="ListBullet"/>
        <w:numPr>
          <w:ilvl w:val="0"/>
          <w:numId w:val="11"/>
        </w:numPr>
      </w:pPr>
      <w:r>
        <w:t>ответ УК и документы размещения;</w:t>
      </w:r>
    </w:p>
    <w:p>
      <w:pPr>
        <w:pStyle w:val="ListBullet"/>
        <w:numPr>
          <w:ilvl w:val="0"/>
          <w:numId w:val="11"/>
        </w:numPr>
      </w:pPr>
      <w:r>
        <w:t>протокол собрания либо подтверждение его отсутствия;</w:t>
      </w:r>
    </w:p>
    <w:p>
      <w:pPr>
        <w:pStyle w:val="ListBullet"/>
        <w:numPr>
          <w:ilvl w:val="0"/>
          <w:numId w:val="11"/>
        </w:numPr>
      </w:pPr>
      <w:r>
        <w:t>разрешение на рекламную конструкцию — при наличии;</w:t>
      </w:r>
    </w:p>
    <w:p>
      <w:pPr>
        <w:pStyle w:val="ListBullet"/>
        <w:numPr>
          <w:ilvl w:val="0"/>
          <w:numId w:val="11"/>
        </w:numPr>
      </w:pPr>
      <w:r>
        <w:t>экспертное заключение / смета восстановления;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расчёт убытков;</w:t>
      </w:r>
    </w:p>
    <w:p>
      <w:pPr>
        <w:pStyle w:val="ListBullet"/>
        <w:numPr>
          <w:ilvl w:val="0"/>
          <w:numId w:val="11"/>
        </w:numPr>
      </w:pPr>
      <w:r>
        <w:t>документ о госпошлине / льготе;</w:t>
      </w:r>
    </w:p>
    <w:p>
      <w:pPr>
        <w:pStyle w:val="ListBullet"/>
        <w:numPr>
          <w:ilvl w:val="0"/>
          <w:numId w:val="11"/>
        </w:numPr>
      </w:pPr>
      <w:r>
        <w:t>доверенность / решение о полномочиях.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209, 247, 290, 304, 308.3 и 1064 ГК РФ; статьи 36, 44–46 ЖК РФ; статья 6 Федерального закона № 126-ФЗ; Федеральный закон № 67-ФЗ; Постановление Правительства РФ № 1055; статья 19 Федерального закона № 38-ФЗ; статьи 24, 30, 56–57, 91,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