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денег, снятых со счёта наследодателя после смерти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№464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Предъявляется к установленному получателю. Один наследник заявляет свою долю, а все наследники совместно могут распределить требование по своим долям.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 по цене и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 / истцы: [принявшие наследство лица]</w:t>
      </w:r>
    </w:p>
    <w:p>
      <w:pPr>
        <w:spacing w:after="40"/>
        <w:jc w:val="left"/>
      </w:pPr>
      <w:r>
        <w:rPr>
          <w:color w:val="14213D"/>
          <w:sz w:val="20"/>
        </w:rPr>
        <w:t>Ответчик: [получатель денег,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ВЗЫСКАНИИ НЕОСНОВАТЕЛЬНО ПОЛУЧЕННЫХ ДЕНЕЖНЫХ СРЕДСТВ</w:t>
      </w:r>
    </w:p>
    <w:p>
      <w:r>
        <w:t>[ФИО наследодателя] умер [дата]. Наследство приняли [лица, доли]. По сведениям [банк / нотариус] после смерти со счёта совершены операции в пользу ответчика на сумму [сумма] руб.</w:t>
      </w:r>
    </w:p>
    <w:p>
      <w:r>
        <w:t>Действие доверенности прекратилось со смертью. Иное основание удержания денег ответчиком не подтверждено. Документально подтверждённые расходы по статье 1174 ГК РФ составляют [сумма] руб. и учтены в расчёте / не представлены.</w:t>
      </w:r>
    </w:p>
    <w:p>
      <w:r>
        <w:t>Требование о возврате от [дата] не исполнено. Моя наследственная доля составляет [доля], сумма требования — [сумма] руб.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Взыскать с ответчика в пользу истца / каждого истца денежные средства в суммах согласно расчёту наследственных долей.</w:t>
      </w:r>
    </w:p>
    <w:p>
      <w:pPr>
        <w:pStyle w:val="ListNumber"/>
        <w:numPr>
          <w:ilvl w:val="0"/>
          <w:numId w:val="10"/>
        </w:numPr>
      </w:pPr>
      <w:r>
        <w:t>Взыскать проценты по статье 395 ГК РФ с даты просрочки возврата по день исполнения.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неизвестен получатель или нет банковской выписки, сначала используйте нотариальный и процессуальный запросы, а не подавайте иск к предполагаемому лицу.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принятии наследства и долях;</w:t>
      </w:r>
    </w:p>
    <w:p>
      <w:pPr>
        <w:pStyle w:val="ListBullet"/>
        <w:numPr>
          <w:ilvl w:val="0"/>
          <w:numId w:val="11"/>
        </w:numPr>
      </w:pPr>
      <w:r>
        <w:t>ответ банка / нотариуса;</w:t>
      </w:r>
    </w:p>
    <w:p>
      <w:pPr>
        <w:pStyle w:val="ListBullet"/>
        <w:numPr>
          <w:ilvl w:val="0"/>
          <w:numId w:val="11"/>
        </w:numPr>
      </w:pPr>
      <w:r>
        <w:t>расчёт операций и вычет подтверждённых расходов;</w:t>
      </w:r>
    </w:p>
    <w:p>
      <w:pPr>
        <w:pStyle w:val="ListBullet"/>
        <w:numPr>
          <w:ilvl w:val="0"/>
          <w:numId w:val="11"/>
        </w:numPr>
      </w:pPr>
      <w:r>
        <w:t>требование ответчику;</w:t>
      </w:r>
    </w:p>
    <w:p>
      <w:pPr>
        <w:pStyle w:val="ListBullet"/>
        <w:numPr>
          <w:ilvl w:val="0"/>
          <w:numId w:val="11"/>
        </w:numPr>
      </w:pPr>
      <w:r>
        <w:t>документы по подсудности и направлению копий.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188, 395, 1102, 1112, 1152 и 1174 ГК РФ; статьи 23–24, 28–29,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