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ИСК О ПРИЗНАНИИ ДОГОВОРА ФИНАНСОВОГО ПРОДУКТА НЕДЕЙСТВИТЕЛЬНЫМ И ВОЗВРАТЕ ДЕНЕЖНЫХ СРЕДСТВ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178–179 ГК РФ; Закон о защите прав потребителей; статьи 131–132 ГПК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[суд — проверить подсудность и статус ответчика]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Истец: [Ф.И.О., дата/место рождения, идентификатор,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Ответчик: [поставщик продукта / банк-агент — определить надлежащего ответчика]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Цена иска: [___] руб.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Госпошлина: проверить льготу потребителя; при отсутствии/превышении льготы рассчитать в калькуляторе на сайте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Факты продажи</w:t>
      </w:r>
    </w:p>
    <w:p>
      <w:pPr>
        <w:pStyle w:val="ListBullet"/>
        <w:spacing w:after="40" w:line="245" w:lineRule="auto"/>
      </w:pPr>
      <w:r>
        <w:t>[дата] истец передал [___] руб. и подписал [название продукта].</w:t>
      </w:r>
    </w:p>
    <w:p>
      <w:pPr>
        <w:pStyle w:val="ListBullet"/>
        <w:spacing w:after="40" w:line="245" w:lineRule="auto"/>
      </w:pPr>
      <w:r>
        <w:t>До заключения сделки продукт описывался как [___].</w:t>
      </w:r>
    </w:p>
    <w:p>
      <w:pPr>
        <w:pStyle w:val="ListBullet"/>
        <w:spacing w:after="40" w:line="245" w:lineRule="auto"/>
      </w:pPr>
      <w:r>
        <w:t>Существенные сведения о риске потери, комиссиях, выкупной сумме, сроке и отсутствии банковского вклада были сообщены/не сообщены: [___].</w:t>
      </w:r>
    </w:p>
    <w:p>
      <w:pPr>
        <w:pStyle w:val="ListBullet"/>
        <w:spacing w:after="40" w:line="245" w:lineRule="auto"/>
      </w:pPr>
      <w:r>
        <w:t>После обнаружения природы продукта истец направил претензию [дата]; ответ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Правовая квалификация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Выберите только доказуемое основание: существенное заблуждение, обман либо нарушение обязанности по предоставлению информации. Само по себе получение доходности ниже ожиданий не делает договор недействительным. Для страхового/инвестиционного продукта отдельно проверяются специальные правила и досудебные процедуры, включая финансового уполномоченного, если спор относится к его компетенции.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Расчёт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Основная сумма / база расчёта: [___] руб. Переменные проценты, неустойку или компенсацию за период рассчитывайте в калькуляторе на сайте по исходным данным: внесённая сумма, возвращённая/выкупная сумма, удержания и комиссии, даты платежей; переменные проценты — отдельным расчётом. Результат расчёта приложите отдельным листом.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СУД</w:t>
      </w:r>
    </w:p>
    <w:p>
      <w:pPr>
        <w:pStyle w:val="ListNumber"/>
        <w:spacing w:after="40" w:line="245" w:lineRule="auto"/>
      </w:pPr>
      <w:r>
        <w:t>Признать договор [___] недействительным по доказанному основанию — если требования и факты это позволяют.</w:t>
      </w:r>
    </w:p>
    <w:p>
      <w:pPr>
        <w:pStyle w:val="ListNumber"/>
        <w:spacing w:after="40" w:line="245" w:lineRule="auto"/>
      </w:pPr>
      <w:r>
        <w:t>Применить последствия недействительности и взыскать [___] руб. либо взыскать подлежащую возврату сумму по иному выбранному основанию.</w:t>
      </w:r>
    </w:p>
    <w:p>
      <w:pPr>
        <w:pStyle w:val="ListNumber"/>
        <w:spacing w:after="40" w:line="245" w:lineRule="auto"/>
      </w:pPr>
      <w:r>
        <w:t>Взыскать подтверждённые убытки/компенсацию морального вреда — только при наличии оснований и доказательств.</w:t>
      </w:r>
    </w:p>
    <w:p>
      <w:pPr>
        <w:pStyle w:val="ListNumber"/>
        <w:spacing w:after="40" w:line="245" w:lineRule="auto"/>
      </w:pPr>
      <w:r>
        <w:t>Взыскать применимый потребительский штраф в размере, действующем и применимом к спору, если условия закона выполнены.</w:t>
      </w:r>
    </w:p>
    <w:p>
      <w:pPr>
        <w:pStyle w:val="ListNumber"/>
        <w:spacing w:after="40" w:line="245" w:lineRule="auto"/>
      </w:pPr>
      <w:r>
        <w:t>Взыскать судебные расходы.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договор и правила продукта</w:t>
      </w:r>
    </w:p>
    <w:p>
      <w:pPr>
        <w:pStyle w:val="ListBullet"/>
        <w:spacing w:after="40" w:line="245" w:lineRule="auto"/>
      </w:pPr>
      <w:r>
        <w:t>платёжные документы</w:t>
      </w:r>
    </w:p>
    <w:p>
      <w:pPr>
        <w:pStyle w:val="ListBullet"/>
        <w:spacing w:after="40" w:line="245" w:lineRule="auto"/>
      </w:pPr>
      <w:r>
        <w:t>документы о раскрытии рисков</w:t>
      </w:r>
    </w:p>
    <w:p>
      <w:pPr>
        <w:pStyle w:val="ListBullet"/>
        <w:spacing w:after="40" w:line="245" w:lineRule="auto"/>
      </w:pPr>
      <w:r>
        <w:t>реклама/переписка/запись продажи</w:t>
      </w:r>
    </w:p>
    <w:p>
      <w:pPr>
        <w:pStyle w:val="ListBullet"/>
        <w:spacing w:after="40" w:line="245" w:lineRule="auto"/>
      </w:pPr>
      <w:r>
        <w:t>претензия и ответ</w:t>
      </w:r>
    </w:p>
    <w:p>
      <w:pPr>
        <w:pStyle w:val="ListBullet"/>
        <w:spacing w:after="40" w:line="245" w:lineRule="auto"/>
      </w:pPr>
      <w:r>
        <w:t>документы финансового уполномоченного — если обязательны</w:t>
      </w:r>
    </w:p>
    <w:p>
      <w:pPr>
        <w:pStyle w:val="ListBullet"/>
        <w:spacing w:after="40" w:line="245" w:lineRule="auto"/>
      </w:pPr>
      <w:r>
        <w:t>расчёт</w:t>
      </w:r>
    </w:p>
    <w:p>
      <w:pPr>
        <w:pStyle w:val="ListBullet"/>
        <w:spacing w:after="40" w:line="245" w:lineRule="auto"/>
      </w:pPr>
      <w:r>
        <w:t>доказательство направления иска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