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к застройщику по гарантийным недостаткам объекта долевого строительства</w:t>
      </w:r>
    </w:p>
    <w:p>
      <w:pPr>
        <w:pStyle w:val="SmallNote"/>
      </w:pPr>
      <w:r>
        <w:t>Категория: Иски  •  Статья сайта: №262</w:t>
      </w:r>
    </w:p>
    <w:p>
      <w:pPr>
        <w:pStyle w:val="SmallNote"/>
      </w:pPr>
      <w:r>
        <w:rPr>
          <w:color w:val="676767"/>
        </w:rPr>
        <w:t>Структура: ИСК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После фиксации дефектов и обращения к застройщику, если требование не исполнено. Денежные и неденежные требования формулируются с учётом действующей на дату спора редакции Закона № 214-ФЗ.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 по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контакты,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Ответчик: [застройщик, ИНН/ОГРН, адрес]</w:t>
      </w:r>
    </w:p>
    <w:p>
      <w:pPr>
        <w:spacing w:after="40"/>
        <w:jc w:val="left"/>
      </w:pPr>
      <w:r>
        <w:rPr>
          <w:color w:val="14213D"/>
          <w:sz w:val="20"/>
        </w:rPr>
        <w:t>Цена иска: [имущественная сумма] руб.</w:t>
      </w:r>
    </w:p>
    <w:p>
      <w:pPr>
        <w:spacing w:after="40"/>
        <w:jc w:val="left"/>
      </w:pPr>
      <w:r>
        <w:rPr>
          <w:color w:val="14213D"/>
          <w:sz w:val="20"/>
        </w:rPr>
        <w:t>Госпошлина: [льгота / расчёт по действующему НК РФ]</w:t>
      </w:r>
    </w:p>
    <w:p>
      <w:pPr>
        <w:pStyle w:val="Heading1"/>
      </w:pPr>
      <w:r>
        <w:t>ИСКОВОЕ ЗАЯВЛЕНИЕ О ЗАЩИТЕ ПРАВ В СВЯЗИ С ГАРАНТИЙНЫМИ НЕДОСТАТКАМИ</w:t>
      </w:r>
    </w:p>
    <w:p>
      <w:pPr>
        <w:pStyle w:val="Heading2"/>
      </w:pPr>
      <w:r>
        <w:t>ОПИСАТЕЛЬНАЯ ЧАСТЬ</w:t>
      </w:r>
    </w:p>
    <w:p>
      <w:r>
        <w:t>По ДДУ № [номер] объект [адрес] передан [дата]. В гарантийный срок выявлены [дефекты]. Их причины и стоимость подтверждаются [акт / заключение].</w:t>
      </w:r>
    </w:p>
    <w:p>
      <w:r>
        <w:t>Претензия от [дата] получена [дата]. Ответчик [отказал / не устранил / нарушил согласованный срок]. Последствия: [расходы и ограничения].</w:t>
      </w:r>
    </w:p>
    <w:p>
      <w:pPr>
        <w:pStyle w:val="Heading2"/>
      </w:pPr>
      <w:r>
        <w:t>МОТИВИРОВОЧНАЯ ЧАСТЬ</w:t>
      </w:r>
    </w:p>
    <w:p>
      <w:r>
        <w:t>Застройщик обязан передать объект надлежащего качества и отвечает за гарантийные недостатки, если не докажет предусмотренные законом освобождающие обстоятельства. Способы защиты и санкции определяются специальной редакцией Закона № 214-ФЗ, действовавшей в юридически значимый период.</w:t>
      </w:r>
    </w:p>
    <w:p>
      <w:pPr>
        <w:pStyle w:val="Heading2"/>
      </w:pPr>
      <w:r>
        <w:t>РАСЧЁТ ТРЕБОВАНИЙ</w:t>
      </w:r>
    </w:p>
    <w:p>
      <w:r>
        <w:t>Основное требование: [стоимость устранения / уменьшение цены / иное допустимое] — [сумма] руб. Санкции: [отдельная формула с периодом и применимой ставкой]. Убытки: [сумма]. Моральный вред: [сумма]. Штраф: [если применим]. Итого имущественных требований: [сумма].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Обязать ответчика устранить недостатки [точный перечень и срок] / взыскать выбранную денежную сумму [сумма] руб.</w:t>
      </w:r>
    </w:p>
    <w:p>
      <w:pPr>
        <w:pStyle w:val="ListNumber"/>
        <w:numPr>
          <w:ilvl w:val="0"/>
          <w:numId w:val="10"/>
        </w:numPr>
      </w:pPr>
      <w:r>
        <w:t>Взыскать доказанные убытки [сумма] руб. и применимые санкции по отдельному расчёту.</w:t>
      </w:r>
    </w:p>
    <w:p>
      <w:pPr>
        <w:pStyle w:val="ListNumber"/>
        <w:numPr>
          <w:ilvl w:val="0"/>
          <w:numId w:val="10"/>
        </w:numPr>
      </w:pPr>
      <w:r>
        <w:t>Взыскать компенсацию морального вреда [сумма] руб., потребительский штраф — если его основания подтверждены, и судебные расходы.</w:t>
      </w:r>
    </w:p>
    <w:p>
      <w:pPr>
        <w:pStyle w:val="ListNumber"/>
        <w:numPr>
          <w:ilvl w:val="0"/>
          <w:numId w:val="10"/>
        </w:numPr>
      </w:pPr>
      <w:r>
        <w:t>Назначить строительно-техническую экспертизу по отдельному ходатайству и истребовать исполнительную документацию.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переносите в шаблон старые ставки неустойки и штрафа без проверки даты. Не заявляйте одновременно взаимоисключающие способы устранения одного дефекта.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иска;</w:t>
      </w:r>
    </w:p>
    <w:p>
      <w:pPr>
        <w:pStyle w:val="ListBullet"/>
        <w:numPr>
          <w:ilvl w:val="0"/>
          <w:numId w:val="11"/>
        </w:numPr>
      </w:pPr>
      <w:r>
        <w:t>ДДУ и акт передачи;</w:t>
      </w:r>
    </w:p>
    <w:p>
      <w:pPr>
        <w:pStyle w:val="ListBullet"/>
        <w:numPr>
          <w:ilvl w:val="0"/>
          <w:numId w:val="11"/>
        </w:numPr>
      </w:pPr>
      <w:r>
        <w:t>претензия и вручение;</w:t>
      </w:r>
    </w:p>
    <w:p>
      <w:pPr>
        <w:pStyle w:val="ListBullet"/>
        <w:numPr>
          <w:ilvl w:val="0"/>
          <w:numId w:val="11"/>
        </w:numPr>
      </w:pPr>
      <w:r>
        <w:t>акты, фото, заключение;</w:t>
      </w:r>
    </w:p>
    <w:p>
      <w:pPr>
        <w:pStyle w:val="ListBullet"/>
        <w:numPr>
          <w:ilvl w:val="0"/>
          <w:numId w:val="11"/>
        </w:numPr>
      </w:pPr>
      <w:r>
        <w:t>расчёт каждого требования;</w:t>
      </w:r>
    </w:p>
    <w:p>
      <w:pPr>
        <w:pStyle w:val="ListBullet"/>
        <w:numPr>
          <w:ilvl w:val="0"/>
          <w:numId w:val="11"/>
        </w:numPr>
      </w:pPr>
      <w:r>
        <w:t>сметы и чеки;</w:t>
      </w:r>
    </w:p>
    <w:p>
      <w:pPr>
        <w:pStyle w:val="ListBullet"/>
        <w:numPr>
          <w:ilvl w:val="0"/>
          <w:numId w:val="11"/>
        </w:numPr>
      </w:pPr>
      <w:r>
        <w:t>ходатайство об экспертизе;</w:t>
      </w:r>
    </w:p>
    <w:p>
      <w:pPr>
        <w:pStyle w:val="ListBullet"/>
        <w:numPr>
          <w:ilvl w:val="0"/>
          <w:numId w:val="11"/>
        </w:numPr>
      </w:pPr>
      <w:r>
        <w:t>госпошлина / льгота;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7 Федерального закона № 214-ФЗ; статьи 15, 309–310, 393 ГК РФ; Закон РФ № 2300-1 в применимой части; статьи 28–29, 56–57, 79–80, 91, 98,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№262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