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взыскании компенсации за невозможность пользоваться долей в квартире</w:t>
      </w:r>
    </w:p>
    <w:p>
      <w:pPr>
        <w:spacing w:after="40"/>
      </w:pPr>
      <w:r>
        <w:rPr>
          <w:b/>
          <w:color w:val="676767"/>
        </w:rPr>
        <w:t>Категория: Иски  •  Статья сайта: №314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Отдельная денежная ветка сособственника, которому по вине другого участника не предоставляется соразмерная доле часть квартиры. Компенсация не равна автоматической арендной плате: нужно доказать препятствия, объективную невозможность пользования и размер требования.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/ мировому судье по правилам родовой и территориальной подсудности</w:t>
      </w:r>
    </w:p>
    <w:p>
      <w:pPr>
        <w:spacing w:after="40"/>
        <w:jc w:val="left"/>
      </w:pPr>
      <w:r>
        <w:rPr>
          <w:color w:val="14213D"/>
          <w:sz w:val="20"/>
        </w:rPr>
        <w:t>Истец: [ФИО, реквизиты по ст. 131 ГПК РФ]</w:t>
      </w:r>
    </w:p>
    <w:p>
      <w:pPr>
        <w:spacing w:after="40"/>
        <w:jc w:val="left"/>
      </w:pPr>
      <w:r>
        <w:rPr>
          <w:color w:val="14213D"/>
          <w:sz w:val="20"/>
        </w:rPr>
        <w:t>Ответчик: [сособственник, адрес, идентификатор — если известен]</w:t>
      </w:r>
    </w:p>
    <w:p>
      <w:pPr>
        <w:spacing w:after="40"/>
        <w:jc w:val="left"/>
      </w:pPr>
      <w:r>
        <w:rPr>
          <w:color w:val="14213D"/>
          <w:sz w:val="20"/>
        </w:rPr>
        <w:t>Квартира: [адрес, кадастровый номер]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 компенсации]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по действующей редакции НК РФ / льгота / ходатайство]</w:t>
      </w:r>
    </w:p>
    <w:p>
      <w:pPr>
        <w:pStyle w:val="Heading1"/>
      </w:pPr>
      <w:r>
        <w:t>ИСКОВОЕ ЗАЯВЛЕНИЕ О ВЗЫСКАНИИ КОМПЕНСАЦИИ ЗА НЕВОЗМОЖНОСТЬ ПОЛЬЗОВАТЬСЯ ДОЛЕЙ В ОБЩЕМ ИМУЩЕСТВЕ</w:t>
      </w:r>
    </w:p>
    <w:p>
      <w:pPr>
        <w:pStyle w:val="Heading2"/>
      </w:pPr>
      <w:r>
        <w:t>ОПИСАТЕЛЬНАЯ ЧАСТЬ</w:t>
      </w:r>
    </w:p>
    <w:p>
      <w:r>
        <w:t>Истцу принадлежит [доля] в праве на квартиру [адрес], ответчику — [доля]. Квартира имеет комнаты [площадь и планировка]. С [дата] ответчик фактически использует [описание] и препятствует истцу: [не выдаёт ключи, сменил замки, занял все комнаты — факты].</w:t>
      </w:r>
    </w:p>
    <w:p>
      <w:r>
        <w:t>Истец предлагал порядок пользования [даты, вариант], обращался [куда]. Предоставить истцу часть имущества, соразмерную доле, невозможно / предложенный ответчиком вариант объективно несоразмерен по причинам [заключение, планировка, решение суда].</w:t>
      </w:r>
    </w:p>
    <w:p>
      <w:r>
        <w:t>Компенсация рассчитана за период [даты] по [отчёт оценщика / рыночная стоимость пользования / иной допустимый метод] с учётом доли и фактических обстоятельств: [формула], итог [сумма] руб.</w:t>
      </w:r>
    </w:p>
    <w:p>
      <w:pPr>
        <w:pStyle w:val="Heading2"/>
      </w:pPr>
      <w:r>
        <w:t>МОТИВИРОВОЧНАЯ ЧАСТЬ</w:t>
      </w:r>
    </w:p>
    <w:p>
      <w:r>
        <w:t>Участник долевой собственности вправе получить во владение и пользование часть общего имущества, соразмерную доле, а при невозможности — требовать соответствующую компенсацию от других участников, владеющих и пользующихся имуществом. Для взыскания оцениваются реальное лишение возможности пользования, поведение сторон и обоснованность расчёта.</w:t>
      </w:r>
    </w:p>
    <w:p>
      <w:pPr>
        <w:pStyle w:val="Heading2"/>
      </w:pPr>
      <w:r>
        <w:t>ПРОСИТЕЛЬНАЯ ЧАСТЬ</w:t>
      </w:r>
    </w:p>
    <w:p>
      <w:r>
        <w:t>На основании статей 244–247 ГК РФ, статей 24, 28, 56–57, 91, 131–132 ГПК РФ ПРОШУ:</w:t>
      </w:r>
    </w:p>
    <w:p>
      <w:pPr>
        <w:pStyle w:val="ListNumber"/>
        <w:numPr>
          <w:ilvl w:val="0"/>
          <w:numId w:val="10"/>
        </w:numPr>
      </w:pPr>
      <w:r>
        <w:t>Взыскать с ответчика компенсацию за невозможность пользоваться долей за период [даты] в размере [сумма] руб.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[перечень, сумма].</w:t>
      </w:r>
    </w:p>
    <w:p>
      <w:pPr>
        <w:pStyle w:val="ListNumber"/>
        <w:numPr>
          <w:ilvl w:val="0"/>
          <w:numId w:val="10"/>
        </w:numPr>
      </w:pPr>
      <w:r>
        <w:t>Истребовать [документы / сведения] — по отдельному ходатайству, если истец не может получить их самостоятельно.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доступ и соразмерное пользование реально возможны, основным способом защиты может быть иск о порядке пользования и устранении препятствий. Не заявляйте компенсацию только потому, что ответчик живёт в квартире, без доказательства лишения истца возможности пользоваться.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подтверждение направления иска;</w:t>
      </w:r>
    </w:p>
    <w:p>
      <w:pPr>
        <w:pStyle w:val="ListBullet"/>
        <w:numPr>
          <w:ilvl w:val="0"/>
          <w:numId w:val="11"/>
        </w:numPr>
      </w:pPr>
      <w:r>
        <w:t>выписка ЕГРН;</w:t>
      </w:r>
    </w:p>
    <w:p>
      <w:pPr>
        <w:pStyle w:val="ListBullet"/>
        <w:numPr>
          <w:ilvl w:val="0"/>
          <w:numId w:val="11"/>
        </w:numPr>
      </w:pPr>
      <w:r>
        <w:t>поэтажный план и экспликация;</w:t>
      </w:r>
    </w:p>
    <w:p>
      <w:pPr>
        <w:pStyle w:val="ListBullet"/>
        <w:numPr>
          <w:ilvl w:val="0"/>
          <w:numId w:val="11"/>
        </w:numPr>
      </w:pPr>
      <w:r>
        <w:t>переписка и предложение о порядке пользования;</w:t>
      </w:r>
    </w:p>
    <w:p>
      <w:pPr>
        <w:pStyle w:val="ListBullet"/>
        <w:numPr>
          <w:ilvl w:val="0"/>
          <w:numId w:val="11"/>
        </w:numPr>
      </w:pPr>
      <w:r>
        <w:t>акты, заявления в полицию / УК и свидетельские объяснения;</w:t>
      </w:r>
    </w:p>
    <w:p>
      <w:pPr>
        <w:pStyle w:val="ListBullet"/>
        <w:numPr>
          <w:ilvl w:val="0"/>
          <w:numId w:val="11"/>
        </w:numPr>
      </w:pPr>
      <w:r>
        <w:t>судебные решения о вселении / порядке пользования — при наличии;</w:t>
      </w:r>
    </w:p>
    <w:p>
      <w:pPr>
        <w:pStyle w:val="ListBullet"/>
        <w:numPr>
          <w:ilvl w:val="0"/>
          <w:numId w:val="11"/>
        </w:numPr>
      </w:pPr>
      <w:r>
        <w:t>отчёт оценщика и расчёт цены иска;</w:t>
      </w:r>
    </w:p>
    <w:p>
      <w:pPr>
        <w:pStyle w:val="ListBullet"/>
        <w:numPr>
          <w:ilvl w:val="0"/>
          <w:numId w:val="11"/>
        </w:numPr>
      </w:pPr>
      <w:r>
        <w:t>документ о госпошлине / льготе;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244–247 ГК РФ; статьи 24, 28, 56–57, 91, 131–132 ГПК РФ; статья 333.19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