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DocumentTitle"/>
      </w:pPr>
      <w:r>
        <w:t>Иск об определении места жительства и возвращении ребёнка от второго родителя</w:t>
      </w:r>
    </w:p>
    <w:p>
      <w:pPr>
        <w:spacing w:after="40"/>
      </w:pPr>
      <w:r>
        <w:rPr>
          <w:b/>
          <w:color w:val="676767"/>
        </w:rPr>
        <w:t>Категория: Иски  •  Статья сайта: №329</w:t>
      </w:r>
    </w:p>
    <w:p>
      <w:pPr>
        <w:spacing w:after="160"/>
      </w:pPr>
      <w:r>
        <w:rPr>
          <w:b/>
          <w:color w:val="676767"/>
          <w:sz w:val="19"/>
        </w:rPr>
        <w:t>Структура: ИСК ПО ГПК РФ: вводная • описательная • мотивировочная • просительная • приложения  •  Статус: НОВЫЙ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5F0E4"/>
            <w:tcBorders>
              <w:top w:val="single" w:sz="8" w:space="0" w:color="8F2B24"/>
              <w:left w:val="single" w:sz="8" w:space="0" w:color="8F2B24"/>
              <w:bottom w:val="single" w:sz="8" w:space="0" w:color="8F2B24"/>
              <w:right w:val="single" w:sz="8" w:space="0" w:color="8F2B24"/>
              <w:insideH w:val="single" w:sz="8" w:space="0" w:color="8F2B24"/>
              <w:insideV w:val="single" w:sz="8" w:space="0" w:color="8F2B24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b/>
                <w:color w:val="6E211D"/>
              </w:rPr>
              <w:t xml:space="preserve">Когда использовать. </w:t>
            </w:r>
            <w:r>
              <w:rPr>
                <w:color w:val="14213D"/>
              </w:rPr>
              <w:t>Альтернативная внутрироссийская семейно-правовая ветка, когда специальный международный договор о возвращении не применяется либо спор должен разрешаться по существу. Не подаётся одновременно в одном деле со специальным заявлением по главе 22.2 ГПК РФ.</w:t>
            </w:r>
          </w:p>
        </w:tc>
      </w:tr>
    </w:tbl>
    <w:p>
      <w:pPr>
        <w:pStyle w:val="Heading2"/>
      </w:pPr>
      <w:r>
        <w:t>Куда и от кого</w:t>
      </w:r>
    </w:p>
    <w:p>
      <w:pPr>
        <w:spacing w:after="40"/>
        <w:jc w:val="right"/>
      </w:pPr>
      <w:r>
        <w:rPr>
          <w:color w:val="14213D"/>
          <w:sz w:val="20"/>
        </w:rPr>
        <w:t>В районный суд по подсудности</w:t>
      </w:r>
    </w:p>
    <w:p>
      <w:pPr>
        <w:spacing w:after="40"/>
        <w:jc w:val="left"/>
      </w:pPr>
      <w:r>
        <w:rPr>
          <w:color w:val="14213D"/>
          <w:sz w:val="20"/>
        </w:rPr>
        <w:t>Истец: [ФИО, адрес, дата и место рождения, идентификатор, контакты]</w:t>
      </w:r>
    </w:p>
    <w:p>
      <w:pPr>
        <w:spacing w:after="40"/>
        <w:jc w:val="left"/>
      </w:pPr>
      <w:r>
        <w:rPr>
          <w:color w:val="14213D"/>
          <w:sz w:val="20"/>
        </w:rPr>
        <w:t>Ответчик: [второй родитель, адрес]</w:t>
      </w:r>
    </w:p>
    <w:p>
      <w:pPr>
        <w:spacing w:after="40"/>
        <w:jc w:val="left"/>
      </w:pPr>
      <w:r>
        <w:rPr>
          <w:color w:val="14213D"/>
          <w:sz w:val="20"/>
        </w:rPr>
        <w:t>Орган опеки: [наименование, адрес]</w:t>
      </w:r>
    </w:p>
    <w:p>
      <w:pPr>
        <w:spacing w:after="40"/>
        <w:jc w:val="left"/>
      </w:pPr>
      <w:r>
        <w:rPr>
          <w:color w:val="14213D"/>
          <w:sz w:val="20"/>
        </w:rPr>
        <w:t>Ребёнок: [ФИО, дата рождения]</w:t>
      </w:r>
    </w:p>
    <w:p>
      <w:pPr>
        <w:spacing w:after="40"/>
        <w:jc w:val="left"/>
      </w:pPr>
      <w:r>
        <w:rPr>
          <w:color w:val="14213D"/>
          <w:sz w:val="20"/>
        </w:rPr>
        <w:t>Цена иска: неимущественное требование</w:t>
      </w:r>
    </w:p>
    <w:p>
      <w:pPr>
        <w:spacing w:after="40"/>
        <w:jc w:val="left"/>
      </w:pPr>
      <w:r>
        <w:rPr>
          <w:color w:val="14213D"/>
          <w:sz w:val="20"/>
        </w:rPr>
        <w:t>Госпошлина: [по действующей редакции НК РФ / льгота]</w:t>
      </w:r>
    </w:p>
    <w:p>
      <w:pPr>
        <w:pStyle w:val="Heading1"/>
      </w:pPr>
      <w:r>
        <w:t>ИСКОВОЕ ЗАЯВЛЕНИЕ ОБ ОПРЕДЕЛЕНИИ МЕСТА ЖИТЕЛЬСТВА И ВОЗВРАЩЕНИИ РЕБЁНКА</w:t>
      </w:r>
    </w:p>
    <w:p>
      <w:pPr>
        <w:pStyle w:val="Heading2"/>
      </w:pPr>
      <w:r>
        <w:t>ОПИСАТЕЛЬНАЯ ЧАСТЬ</w:t>
      </w:r>
    </w:p>
    <w:p>
      <w:r>
        <w:t>Родители ребёнка [ФИО] проживают раздельно. До [дата] ребёнок проживал с истцом по адресу [адрес], посещал [учреждение], имел режим и связи [кратко]. [Дата] ответчик получил ребёнка для [поездка / выходные], но в согласованный срок не возвратил и [скрывает адрес / отказал в передаче].</w:t>
      </w:r>
    </w:p>
    <w:p>
      <w:r>
        <w:t>Истец предлагал добровольное возвращение и порядок общения: [даты, ответы]. Текущее удержание нарушает стабильность ребёнка по причинам [конкретно], а не только интересы истца.</w:t>
      </w:r>
    </w:p>
    <w:p>
      <w:pPr>
        <w:pStyle w:val="Heading2"/>
      </w:pPr>
      <w:r>
        <w:t>МОТИВИРОВОЧНАЯ ЧАСТЬ</w:t>
      </w:r>
    </w:p>
    <w:p>
      <w:r>
        <w:t>Суд определяет место жительства ребёнка исходя из его интересов, привязанности, возраста, отношений с каждым родителем, режима, условий воспитания и иных обстоятельств. Мнение ребёнка учитывается в предусмотренном законом порядке; заключение органа опеки обязательно.</w:t>
      </w:r>
    </w:p>
    <w:p>
      <w:pPr>
        <w:pStyle w:val="Heading2"/>
      </w:pPr>
      <w:r>
        <w:t>ПРОСИТЕЛЬНАЯ ЧАСТЬ</w:t>
      </w:r>
    </w:p>
    <w:p>
      <w:r>
        <w:t>На основании статей 61, 65, 68 и 78 СК РФ, статей 24, 28–29, 131–132 ГПК РФ ПРОШУ:</w:t>
      </w:r>
    </w:p>
    <w:p>
      <w:pPr>
        <w:pStyle w:val="ListNumber"/>
        <w:numPr>
          <w:ilvl w:val="0"/>
          <w:numId w:val="10"/>
        </w:numPr>
      </w:pPr>
      <w:r>
        <w:t>Определить место жительства ребёнка [ФИО] с истцом по адресу [адрес].</w:t>
      </w:r>
    </w:p>
    <w:p>
      <w:pPr>
        <w:pStyle w:val="ListNumber"/>
        <w:numPr>
          <w:ilvl w:val="0"/>
          <w:numId w:val="10"/>
        </w:numPr>
      </w:pPr>
      <w:r>
        <w:t>Обязать ответчика передать ребёнка истцу после вступления решения в законную силу в порядке, определённом судом.</w:t>
      </w:r>
    </w:p>
    <w:p>
      <w:pPr>
        <w:pStyle w:val="ListNumber"/>
        <w:numPr>
          <w:ilvl w:val="0"/>
          <w:numId w:val="10"/>
        </w:numPr>
      </w:pPr>
      <w:r>
        <w:t>Привлечь орган опеки, обязать его обследовать условия сторон и представить заключение.</w:t>
      </w:r>
    </w:p>
    <w:p>
      <w:pPr>
        <w:pStyle w:val="ListNumber"/>
        <w:numPr>
          <w:ilvl w:val="0"/>
          <w:numId w:val="10"/>
        </w:numPr>
      </w:pPr>
      <w:r>
        <w:t>При необходимости определить временное место жительства ребёнка по отдельному ходатайству в порядке части 6.1 статьи 152 ГПК РФ.</w:t>
      </w:r>
    </w:p>
    <w:p>
      <w:pPr>
        <w:pStyle w:val="Heading2"/>
      </w:pPr>
      <w:r>
        <w:t>Приложения</w:t>
      </w:r>
    </w:p>
    <w:p>
      <w:pPr>
        <w:pStyle w:val="ListBullet"/>
        <w:numPr>
          <w:ilvl w:val="0"/>
          <w:numId w:val="11"/>
        </w:numPr>
      </w:pPr>
      <w:r>
        <w:t>подтверждения направления иска;</w:t>
      </w:r>
    </w:p>
    <w:p>
      <w:pPr>
        <w:pStyle w:val="ListBullet"/>
        <w:numPr>
          <w:ilvl w:val="0"/>
          <w:numId w:val="11"/>
        </w:numPr>
      </w:pPr>
      <w:r>
        <w:t>свидетельство о рождении;</w:t>
      </w:r>
    </w:p>
    <w:p>
      <w:pPr>
        <w:pStyle w:val="ListBullet"/>
        <w:numPr>
          <w:ilvl w:val="0"/>
          <w:numId w:val="11"/>
        </w:numPr>
      </w:pPr>
      <w:r>
        <w:t>документы о прежнем проживании, учёбе и лечении;</w:t>
      </w:r>
    </w:p>
    <w:p>
      <w:pPr>
        <w:pStyle w:val="ListBullet"/>
        <w:numPr>
          <w:ilvl w:val="0"/>
          <w:numId w:val="11"/>
        </w:numPr>
      </w:pPr>
      <w:r>
        <w:t>доказательства согласованного срока поездки и отказа вернуть ребёнка;</w:t>
      </w:r>
    </w:p>
    <w:p>
      <w:pPr>
        <w:pStyle w:val="ListBullet"/>
        <w:numPr>
          <w:ilvl w:val="0"/>
          <w:numId w:val="11"/>
        </w:numPr>
      </w:pPr>
      <w:r>
        <w:t>переписка и обращения;</w:t>
      </w:r>
    </w:p>
    <w:p>
      <w:pPr>
        <w:pStyle w:val="ListBullet"/>
        <w:numPr>
          <w:ilvl w:val="0"/>
          <w:numId w:val="11"/>
        </w:numPr>
      </w:pPr>
      <w:r>
        <w:t>характеристики условий воспитания;</w:t>
      </w:r>
    </w:p>
    <w:p>
      <w:pPr>
        <w:pStyle w:val="ListBullet"/>
        <w:numPr>
          <w:ilvl w:val="0"/>
          <w:numId w:val="11"/>
        </w:numPr>
      </w:pPr>
      <w:r>
        <w:t>документы о доходе, жилье и режиме;</w:t>
      </w:r>
    </w:p>
    <w:p>
      <w:pPr>
        <w:pStyle w:val="ListBullet"/>
        <w:numPr>
          <w:ilvl w:val="0"/>
          <w:numId w:val="11"/>
        </w:numPr>
      </w:pPr>
      <w:r>
        <w:t>заключения специалистов — при наличии;</w:t>
      </w:r>
    </w:p>
    <w:p>
      <w:pPr>
        <w:pStyle w:val="ListBullet"/>
        <w:numPr>
          <w:ilvl w:val="0"/>
          <w:numId w:val="11"/>
        </w:numPr>
      </w:pPr>
      <w:r>
        <w:t>документ о госпошлине / льготе.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2F4F7"/>
            <w:tcBorders>
              <w:top w:val="single" w:sz="8" w:space="0" w:color="B88A3B"/>
              <w:left w:val="single" w:sz="8" w:space="0" w:color="B88A3B"/>
              <w:bottom w:val="single" w:sz="8" w:space="0" w:color="B88A3B"/>
              <w:right w:val="single" w:sz="8" w:space="0" w:color="B88A3B"/>
              <w:insideH w:val="single" w:sz="8" w:space="0" w:color="B88A3B"/>
              <w:insideV w:val="single" w:sz="8" w:space="0" w:color="B88A3B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b/>
                <w:color w:val="6E211D"/>
              </w:rPr>
              <w:t xml:space="preserve">Правовая основа. </w:t>
            </w:r>
            <w:r>
              <w:rPr>
                <w:color w:val="14213D"/>
              </w:rPr>
              <w:t>статьи 61, 65, 68 и 78 СК РФ; статьи 24, 28–29, 56–57, 131–132 и часть 6.1 статьи 152 ГПК РФ.</w:t>
            </w:r>
          </w:p>
        </w:tc>
      </w:tr>
    </w:tbl>
    <w:p>
      <w:pPr>
        <w:spacing w:before="200"/>
      </w:pPr>
      <w:r>
        <w:t>Дата: «___» __________ 20__ г.        Подпись: ____________ / [ФИО] /</w:t>
      </w:r>
    </w:p>
    <w:p>
      <w:pPr>
        <w:pStyle w:val="SmallNote"/>
      </w:pPr>
      <w:r>
        <w:t>Образец проверен 28 августа 2026 года. Перед подачей удалите подсказки, заполните факты, адресатов, требования и приложения. При изменении закона, стадии дела или процессуального статуса документ нужно актуализировать.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Calibri" w:hAnsi="Calibri"/>
        <w:color w:val="676767"/>
        <w:sz w:val="18"/>
      </w:rPr>
      <w:fldChar w:fldCharType="begin"/>
      <w:instrText xml:space="preserve">PAGE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  <w:jc w:val="left"/>
      <w:pBdr>
        <w:bottom w:val="single" w:sz="6" w:space="2" w:color="B88A3B"/>
      </w:pBdr>
    </w:pPr>
    <w:r>
      <w:rPr>
        <w:rFonts w:ascii="Calibri" w:hAnsi="Calibri"/>
        <w:color w:val="676767"/>
        <w:sz w:val="17"/>
      </w:rPr>
      <w:t>Юристы в джинсах • образец к статье №329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abstractNum w:abstractNumId="9">
    <w:multiLevelType w:val="singleLevel"/>
    <w:lvl w:ilvl="0">
      <w:start w:val="1"/>
      <w:numFmt w:val="decimal"/>
      <w:lvlText w:val="%1."/>
      <w:suff w:val="tab"/>
      <w:pPr>
        <w:tabs>
          <w:tab w:val="num" w:pos="540"/>
        </w:tabs>
        <w:ind w:left="540" w:hanging="270"/>
        <w:spacing w:after="80" w:line="300" w:lineRule="auto"/>
      </w:pPr>
      <w:rPr>
        <w:color w:val="8F2B24"/>
      </w:rPr>
    </w:lvl>
  </w:abstractNum>
  <w:num w:numId="10">
    <w:abstractNumId w:val="9"/>
  </w:num>
  <w:abstractNum w:abstractNumId="10">
    <w:multiLevelType w:val="singleLevel"/>
    <w:lvl w:ilvl="0">
      <w:start w:val="1"/>
      <w:numFmt w:val="bullet"/>
      <w:lvlText w:val="•"/>
      <w:suff w:val="tab"/>
      <w:pPr>
        <w:tabs>
          <w:tab w:val="num" w:pos="540"/>
        </w:tabs>
        <w:ind w:left="540" w:hanging="270"/>
        <w:spacing w:after="80" w:line="300" w:lineRule="auto"/>
      </w:pPr>
      <w:rPr>
        <w:color w:val="8F2B24"/>
      </w:rPr>
    </w:lvl>
  </w:abstract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300" w:lineRule="auto"/>
    </w:pPr>
    <w:rPr>
      <w:rFonts w:ascii="Calibri" w:hAnsi="Calibri"/>
      <w:color w:val="14213D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200"/>
      <w:outlineLvl w:val="0"/>
    </w:pPr>
    <w:rPr>
      <w:rFonts w:asciiTheme="majorHAnsi" w:eastAsiaTheme="majorEastAsia" w:hAnsiTheme="majorHAnsi" w:cstheme="majorBidi" w:ascii="Calibri" w:hAnsi="Calibri"/>
      <w:b/>
      <w:bCs/>
      <w:color w:val="8F2B24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40"/>
      <w:outlineLvl w:val="1"/>
    </w:pPr>
    <w:rPr>
      <w:rFonts w:asciiTheme="majorHAnsi" w:eastAsiaTheme="majorEastAsia" w:hAnsiTheme="majorHAnsi" w:cstheme="majorBidi" w:ascii="Calibri" w:hAnsi="Calibri"/>
      <w:b/>
      <w:bCs/>
      <w:color w:val="8F2B24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00"/>
      <w:outlineLvl w:val="2"/>
    </w:pPr>
    <w:rPr>
      <w:rFonts w:asciiTheme="majorHAnsi" w:eastAsiaTheme="majorEastAsia" w:hAnsiTheme="majorHAnsi" w:cstheme="majorBidi" w:ascii="Calibri" w:hAnsi="Calibri"/>
      <w:b/>
      <w:bCs/>
      <w:color w:val="6E211D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before="0" w:after="80" w:line="300" w:lineRule="auto"/>
      <w:contextualSpacing/>
    </w:pPr>
    <w:rPr>
      <w:rFonts w:ascii="Calibri" w:hAnsi="Calibri"/>
      <w:color w:val="14213D"/>
      <w:sz w:val="22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before="0" w:after="80" w:line="300" w:lineRule="auto"/>
      <w:contextualSpacing/>
    </w:pPr>
    <w:rPr>
      <w:rFonts w:ascii="Calibri" w:hAnsi="Calibri"/>
      <w:color w:val="14213D"/>
      <w:sz w:val="22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DocumentTitle">
    <w:name w:val="Document Title"/>
    <w:pPr>
      <w:keepNext/>
      <w:spacing w:before="0" w:after="160"/>
    </w:pPr>
    <w:rPr>
      <w:rFonts w:ascii="Calibri" w:hAnsi="Calibri"/>
      <w:b/>
      <w:color w:val="8F2B24"/>
      <w:sz w:val="44"/>
    </w:rPr>
  </w:style>
  <w:style w:type="paragraph" w:customStyle="1" w:styleId="SmallNote">
    <w:name w:val="Small Note"/>
    <w:pPr>
      <w:spacing w:after="80" w:line="276" w:lineRule="auto"/>
    </w:pPr>
    <w:rPr>
      <w:rFonts w:ascii="Calibri" w:hAnsi="Calibri"/>
      <w:color w:val="676767"/>
      <w:sz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