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Иск о возврате оплаты и убытков из-за неявки исполнителя на мероприятие</w:t>
      </w:r>
    </w:p>
    <w:p>
      <w:pPr>
        <w:spacing w:after="200"/>
      </w:pPr>
      <w:r>
        <w:rPr>
          <w:b/>
          <w:color w:val="676767"/>
        </w:rPr>
        <w:t>Категория: Иски  •  Статья сайта: №485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Исполнитель или агентство не удовлетворили претензию. В иск включаются только документально подтверждённые расходы и корректный расчёт неустойки.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[мировой судья / районный суд]</w:t>
      </w:r>
    </w:p>
    <w:p>
      <w:pPr>
        <w:spacing w:after="40"/>
        <w:jc w:val="left"/>
      </w:pPr>
      <w:r>
        <w:rPr>
          <w:color w:val="14213D"/>
          <w:sz w:val="20"/>
        </w:rPr>
        <w:t>Истец: [ФИО, адрес, телефон, e-mail]</w:t>
      </w:r>
    </w:p>
    <w:p>
      <w:pPr>
        <w:spacing w:after="40"/>
        <w:jc w:val="left"/>
      </w:pPr>
      <w:r>
        <w:rPr>
          <w:color w:val="14213D"/>
          <w:sz w:val="20"/>
        </w:rPr>
        <w:t>Ответчик: [исполнитель по договору, адрес]</w:t>
      </w:r>
    </w:p>
    <w:p>
      <w:pPr>
        <w:spacing w:after="40"/>
        <w:jc w:val="left"/>
      </w:pPr>
      <w:r>
        <w:rPr>
          <w:color w:val="14213D"/>
          <w:sz w:val="20"/>
        </w:rPr>
        <w:t>Цена иска: [сумма] руб.</w:t>
      </w:r>
    </w:p>
    <w:p>
      <w:pPr>
        <w:pStyle w:val="Heading1"/>
      </w:pPr>
      <w:r>
        <w:t>ИСКОВОЕ ЗАЯВЛЕНИЕ В СВЯЗИ СО СРЫВОМ СРОКА ОКАЗАНИЯ УСЛУГИ</w:t>
      </w:r>
    </w:p>
    <w:p>
      <w:r>
        <w:t>Ответчик обязался оказать услугу [описание] [дата, время, место], получил [сумма] руб., но не явился / существенно опоздал. Мероприятие было привязано к конкретному времени, поэтому последующее исполнение утратило смысл.</w:t>
      </w:r>
    </w:p>
    <w:p>
      <w:r>
        <w:t>Для уменьшения последствий истец [привлёк замену / принял иные меры] и понёс расходы [сумма]. Претензия от [дата] не удовлетворена.</w:t>
      </w:r>
    </w:p>
    <w:p>
      <w:pPr>
        <w:pStyle w:val="Heading2"/>
      </w:pPr>
      <w:r>
        <w:t>Прошу суд</w:t>
      </w:r>
    </w:p>
    <w:p>
      <w:pPr>
        <w:pStyle w:val="ListNumber"/>
        <w:numPr>
          <w:ilvl w:val="0"/>
          <w:numId w:val="10"/>
        </w:numPr>
      </w:pPr>
      <w:r>
        <w:t>Взыскать оплату за неоказанную услугу — [сумма] руб.</w:t>
      </w:r>
    </w:p>
    <w:p>
      <w:pPr>
        <w:pStyle w:val="ListNumber"/>
        <w:numPr>
          <w:ilvl w:val="0"/>
          <w:numId w:val="10"/>
        </w:numPr>
      </w:pPr>
      <w:r>
        <w:t>Взыскать необходимые расходы на замену и иные убытки — [сумма] руб.</w:t>
      </w:r>
    </w:p>
    <w:p>
      <w:pPr>
        <w:pStyle w:val="ListNumber"/>
        <w:numPr>
          <w:ilvl w:val="0"/>
          <w:numId w:val="10"/>
        </w:numPr>
      </w:pPr>
      <w:r>
        <w:t>Взыскать неустойку по статье 28 Закона о защите прав потребителей в размере [сумма] руб., не более цены заказа.</w:t>
      </w:r>
    </w:p>
    <w:p>
      <w:pPr>
        <w:pStyle w:val="ListNumber"/>
        <w:numPr>
          <w:ilvl w:val="0"/>
          <w:numId w:val="10"/>
        </w:numPr>
      </w:pPr>
      <w:r>
        <w:t>Взыскать компенсацию морального вреда, потребительский штраф и судебные расходы.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Двойное возмещение не допускается: возврат цены, стоимость замены и убытки должны быть рассчитаны так, чтобы покрыть реальный ущерб, а не повторять одну сумму под разными названиями.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иск и копии;</w:t>
      </w:r>
    </w:p>
    <w:p>
      <w:pPr>
        <w:pStyle w:val="ListBullet"/>
        <w:numPr>
          <w:ilvl w:val="0"/>
          <w:numId w:val="11"/>
        </w:numPr>
      </w:pPr>
      <w:r>
        <w:t>договор, чек и переписка;</w:t>
      </w:r>
    </w:p>
    <w:p>
      <w:pPr>
        <w:pStyle w:val="ListBullet"/>
        <w:numPr>
          <w:ilvl w:val="0"/>
          <w:numId w:val="11"/>
        </w:numPr>
      </w:pPr>
      <w:r>
        <w:t>доказательства неявки;</w:t>
      </w:r>
    </w:p>
    <w:p>
      <w:pPr>
        <w:pStyle w:val="ListBullet"/>
        <w:numPr>
          <w:ilvl w:val="0"/>
          <w:numId w:val="11"/>
        </w:numPr>
      </w:pPr>
      <w:r>
        <w:t>документы по замене и расходам;</w:t>
      </w:r>
    </w:p>
    <w:p>
      <w:pPr>
        <w:pStyle w:val="ListBullet"/>
        <w:numPr>
          <w:ilvl w:val="0"/>
          <w:numId w:val="11"/>
        </w:numPr>
      </w:pPr>
      <w:r>
        <w:t>претензия и доказательство вручения;</w:t>
      </w:r>
    </w:p>
    <w:p>
      <w:pPr>
        <w:pStyle w:val="ListBullet"/>
        <w:numPr>
          <w:ilvl w:val="0"/>
          <w:numId w:val="11"/>
        </w:numPr>
      </w:pPr>
      <w:r>
        <w:t>расчёт неустойки.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статья 28, статьи 13, 15, 17 и 31 Закона РФ «О защите прав потребителей»; статьи 15, 393, 779–783 ГК РФ; статьи 131–132 ГПК РФ.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26 августа 2026 года. Перед подачей удалите подсказки, заполните факты и приложения. В уголовном производстве согласуйте текст с защитником: формулировки зависят от процессуального статуса.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№485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