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отказа от наследства недействительным</w:t>
      </w:r>
    </w:p>
    <w:p>
      <w:pPr>
        <w:spacing w:after="40"/>
      </w:pPr>
      <w:r>
        <w:rPr>
          <w:b/>
          <w:color w:val="676767"/>
        </w:rPr>
        <w:t>Категория: Иски  •  Статья сайта: №331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не из-за перемены решения, а при доказуемом пороке воли или формы: неспособности понимать значение действий, существенном заблуждении, обмане, насилии, угрозе, неблагоприятных обстоятельствах либо подделке подписи. Требования к наследственным правам и записям формулируются по фактической стадии.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подсудности, включая исключительную — если спор о правах на недвижимость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идентификатор,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Ответчики: [наследники, чьи права затрагиваются, ФИО и адреса]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[нотариус; Росреестр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[по имущественным требованиям]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/ ходатайство]</w:t>
      </w:r>
    </w:p>
    <w:p>
      <w:pPr>
        <w:pStyle w:val="Heading1"/>
      </w:pPr>
      <w:r>
        <w:t>ИСКОВОЕ ЗАЯВЛЕНИЕ О ПРИЗНАНИИ ОТКАЗА ОТ НАСЛЕДСТВА НЕДЕЙСТВИТЕЛЬНЫМ</w:t>
      </w:r>
    </w:p>
    <w:p>
      <w:pPr>
        <w:pStyle w:val="Heading2"/>
      </w:pPr>
      <w:r>
        <w:t>ОПИСАТЕЛЬНАЯ ЧАСТЬ</w:t>
      </w:r>
    </w:p>
    <w:p>
      <w:r>
        <w:t>После смерти [ФИО, дата] открылось наследство [состав]. Истец призывался к наследованию по [закону / завещанию]. [Дата] нотариусу подано заявление об отказе от наследства.</w:t>
      </w:r>
    </w:p>
    <w:p>
      <w:r>
        <w:t>Отказ совершен при обстоятельствах: [точные факты порока воли или формы]. О них свидетельствуют [медицинские документы, сообщения, свидетели, экспертиза]. О нарушении права истец узнал [дата]. Ответчики получили / оформляют наследство [сведения].</w:t>
      </w:r>
    </w:p>
    <w:p>
      <w:pPr>
        <w:pStyle w:val="Heading2"/>
      </w:pPr>
      <w:r>
        <w:t>МОТИВИРОВОЧНАЯ ЧАСТЬ</w:t>
      </w:r>
    </w:p>
    <w:p>
      <w:r>
        <w:t>Отказ нельзя произвольно отозвать, но как односторонняя сделка он может быть признан недействительным при наличии оснований, предусмотренных гражданским законодательством. Для оспоримой сделки проверяется специальный срок исковой давности; его начало зависит от конкретного основания.</w:t>
      </w:r>
    </w:p>
    <w:p>
      <w:pPr>
        <w:pStyle w:val="Heading2"/>
      </w:pPr>
      <w:r>
        <w:t>ПРОСИТЕЛЬНАЯ ЧАСТЬ</w:t>
      </w:r>
    </w:p>
    <w:p>
      <w:r>
        <w:t>На основании статей 131–132 ГПК РФ ПРОШУ:</w:t>
      </w:r>
    </w:p>
    <w:p>
      <w:pPr>
        <w:pStyle w:val="ListNumber"/>
        <w:numPr>
          <w:ilvl w:val="0"/>
          <w:numId w:val="10"/>
        </w:numPr>
      </w:pPr>
      <w:r>
        <w:t>Признать недействительным заявление истца об отказе от наследства от [дата], удостоверенное / принятое нотариусом [ФИО], реестр / дело № [номер].</w:t>
      </w:r>
    </w:p>
    <w:p>
      <w:pPr>
        <w:pStyle w:val="ListNumber"/>
        <w:numPr>
          <w:ilvl w:val="0"/>
          <w:numId w:val="10"/>
        </w:numPr>
      </w:pPr>
      <w:r>
        <w:t>Применить последствия недействительности: [признать право истца на долю / признать недействительными свидетельства в соответствующей части / погасить или изменить записи ЕГРН] — выбрать и обосновать по стадии оформления.</w:t>
      </w:r>
    </w:p>
    <w:p>
      <w:pPr>
        <w:pStyle w:val="ListNumber"/>
        <w:numPr>
          <w:ilvl w:val="0"/>
          <w:numId w:val="10"/>
        </w:numPr>
      </w:pPr>
      <w:r>
        <w:t>Истребовать наследственное дело и документы об удостоверении отказа.</w:t>
      </w:r>
    </w:p>
    <w:p>
      <w:pPr>
        <w:pStyle w:val="ListNumber"/>
        <w:numPr>
          <w:ilvl w:val="0"/>
          <w:numId w:val="10"/>
        </w:numPr>
      </w:pPr>
      <w:r>
        <w:t>Назначить [почерковедческую / судебно-психиатрическую] экспертизу — только если для неё имеются фактические основания.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судебные расходы.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подтверждения направления иска;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документы о родстве / завещание;</w:t>
      </w:r>
    </w:p>
    <w:p>
      <w:pPr>
        <w:pStyle w:val="ListBullet"/>
        <w:numPr>
          <w:ilvl w:val="0"/>
          <w:numId w:val="11"/>
        </w:numPr>
      </w:pPr>
      <w:r>
        <w:t>копия отказа;</w:t>
      </w:r>
    </w:p>
    <w:p>
      <w:pPr>
        <w:pStyle w:val="ListBullet"/>
        <w:numPr>
          <w:ilvl w:val="0"/>
          <w:numId w:val="11"/>
        </w:numPr>
      </w:pPr>
      <w:r>
        <w:t>материалы наследственного дела — имеющиеся;</w:t>
      </w:r>
    </w:p>
    <w:p>
      <w:pPr>
        <w:pStyle w:val="ListBullet"/>
        <w:numPr>
          <w:ilvl w:val="0"/>
          <w:numId w:val="11"/>
        </w:numPr>
      </w:pPr>
      <w:r>
        <w:t>доказательства порока воли или формы;</w:t>
      </w:r>
    </w:p>
    <w:p>
      <w:pPr>
        <w:pStyle w:val="ListBullet"/>
        <w:numPr>
          <w:ilvl w:val="0"/>
          <w:numId w:val="11"/>
        </w:numPr>
      </w:pPr>
      <w:r>
        <w:t>сведения о выданных свидетельствах и ЕГРН;</w:t>
      </w:r>
    </w:p>
    <w:p>
      <w:pPr>
        <w:pStyle w:val="ListBullet"/>
        <w:numPr>
          <w:ilvl w:val="0"/>
          <w:numId w:val="11"/>
        </w:numPr>
      </w:pPr>
      <w:r>
        <w:t>расчёт срока исковой давности;</w:t>
      </w:r>
    </w:p>
    <w:p>
      <w:pPr>
        <w:pStyle w:val="ListBullet"/>
        <w:numPr>
          <w:ilvl w:val="0"/>
          <w:numId w:val="11"/>
        </w:numPr>
      </w:pPr>
      <w:r>
        <w:t>оценка имущества и расчёт госпошлины;</w:t>
      </w:r>
    </w:p>
    <w:p>
      <w:pPr>
        <w:pStyle w:val="ListBullet"/>
        <w:numPr>
          <w:ilvl w:val="0"/>
          <w:numId w:val="11"/>
        </w:numPr>
      </w:pPr>
      <w:r>
        <w:t>ходатайства об истребовании доказательств / экспертизе.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153–181, 1111, 1152 и 1157–1159 ГК РФ; статьи 24, 30, 56, 57, 79, 131–132 ГПК РФ; Основы законодательства РФ о нотариате;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