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признании продажи квартиры недействительной из-за отсутствия согласия супруга</w:t>
      </w:r>
    </w:p>
    <w:p>
      <w:pPr>
        <w:pStyle w:val="SmallNote"/>
      </w:pPr>
      <w:r>
        <w:t>Категория: Иски  •  Статья сайта: №228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Квартира являлась общим имуществом супругов, один супруг распорядился ею без нотариального согласия другого, а годичный срок не пропущен либо есть основания его оценивать отдельно.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по месту нахождения квартиры]</w:t>
      </w:r>
    </w:p>
    <w:p>
      <w:pPr>
        <w:spacing w:after="40"/>
        <w:jc w:val="left"/>
      </w:pPr>
      <w:r>
        <w:rPr>
          <w:color w:val="14213D"/>
          <w:sz w:val="20"/>
        </w:rPr>
        <w:t>Истец-супруг: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Ответчики: [супруг-продавец и покупатель, адреса, идентификаторы]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[Росреестр, банк, последующие приобретатели — по основаниям]</w:t>
      </w:r>
    </w:p>
    <w:p>
      <w:pPr>
        <w:spacing w:after="40"/>
        <w:jc w:val="left"/>
      </w:pPr>
      <w:r>
        <w:rPr>
          <w:color w:val="14213D"/>
          <w:sz w:val="20"/>
        </w:rPr>
        <w:t>Цена иска: [по характеру требований] • Госпошлина: [расчёт/льгота]</w:t>
      </w:r>
    </w:p>
    <w:p>
      <w:pPr>
        <w:pStyle w:val="Heading1"/>
      </w:pPr>
      <w:r>
        <w:t>ИСКОВОЕ ЗАЯВЛЕНИЕ О ПРИЗНАНИИ СДЕЛКИ С ОБЩЕЙ НЕДВИЖИМОСТЬЮ НЕДЕЙСТВИТЕЛЬНОЙ</w:t>
      </w:r>
    </w:p>
    <w:p>
      <w:pPr>
        <w:pStyle w:val="Heading2"/>
      </w:pPr>
      <w:r>
        <w:t>ОПИСАТЕЛЬНАЯ ЧАСТЬ</w:t>
      </w:r>
    </w:p>
    <w:p>
      <w:r>
        <w:t>Квартира [адрес, кадастровый номер] приобретена в браке [дата, источник средств], право оформлено на [ФИО]. Брачный договор/соглашение [есть/нет].</w:t>
      </w:r>
    </w:p>
    <w:p>
      <w:r>
        <w:t>Ответчик продал квартиру покупателю по договору от [дата], регистрация [дата]. Нотариальное согласие истца не выдавалось/не охватывало сделку. Истец узнал о продаже [дата, обстоятельства]. Текущий собственник и обременения: [данные ЕГРН].</w:t>
      </w:r>
    </w:p>
    <w:p>
      <w:pPr>
        <w:pStyle w:val="Heading2"/>
      </w:pPr>
      <w:r>
        <w:t>МОТИВИРОВОЧНАЯ ЧАСТЬ</w:t>
      </w:r>
    </w:p>
    <w:p>
      <w:r>
        <w:t>Для распоряжения недвижимостью, права на которую регистрируются, требуется нотариально удостоверенное согласие супруга. Супруг вправе требовать признания сделки недействительной в течение года со дня, когда узнал или должен был узнать о ней, по правилам статьи 173.1 ГК РФ. Суд проверяет общий/личный режим имущества, действительность согласия, срок, участников и последствия для каждой стороны.</w:t>
      </w:r>
    </w:p>
    <w:p>
      <w:pPr>
        <w:pStyle w:val="Heading2"/>
      </w:pPr>
      <w:r>
        <w:t>РАСЧЁТ ТРЕБОВАНИЙ</w:t>
      </w:r>
    </w:p>
    <w:p>
      <w:r>
        <w:t>Цена квартиры [сумма]; требование о возврате имущества/денег и госпошлина рассчитываются по выбранному способу защиты и актуальным правилам. Дополнительные убытки [сумма] — только с отдельным основанием и расчётом.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Признать недействительным договор купли-продажи квартиры [реквизиты].</w:t>
      </w:r>
    </w:p>
    <w:p>
      <w:pPr>
        <w:pStyle w:val="ListNumber"/>
        <w:numPr>
          <w:ilvl w:val="0"/>
          <w:numId w:val="10"/>
        </w:numPr>
      </w:pPr>
      <w:r>
        <w:t>Применить последствия недействительности: [возвратить квартиру в общую собственность/возвратить покупателю цену] с точным распределением обязанностей сторон.</w:t>
      </w:r>
    </w:p>
    <w:p>
      <w:pPr>
        <w:pStyle w:val="ListNumber"/>
        <w:numPr>
          <w:ilvl w:val="0"/>
          <w:numId w:val="10"/>
        </w:numPr>
      </w:pPr>
      <w:r>
        <w:t>Погасить/восстановить соответствующие записи ЕГРН после вступления решения в силу; указать кадастровый номер.</w:t>
      </w:r>
    </w:p>
    <w:p>
      <w:pPr>
        <w:pStyle w:val="ListNumber"/>
        <w:numPr>
          <w:ilvl w:val="0"/>
          <w:numId w:val="10"/>
        </w:numPr>
      </w:pPr>
      <w:r>
        <w:t>Принять обеспечительные меры по отдельному заявлению — запрет регистрационных действий до разрешения спора.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[сумма] руб.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любая квартира, приобретённая в период брака, является общей: проверяются источник и режим имущества. Если продавец — военнослужащий в удалённой местности, отдельно оцените временное регулирование, установленное КС РФ № 36-П до изменения закона.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иска;</w:t>
      </w:r>
    </w:p>
    <w:p>
      <w:pPr>
        <w:pStyle w:val="ListBullet"/>
        <w:numPr>
          <w:ilvl w:val="0"/>
          <w:numId w:val="11"/>
        </w:numPr>
      </w:pPr>
      <w:r>
        <w:t>госпошлина/льгота;</w:t>
      </w:r>
    </w:p>
    <w:p>
      <w:pPr>
        <w:pStyle w:val="ListBullet"/>
        <w:numPr>
          <w:ilvl w:val="0"/>
          <w:numId w:val="11"/>
        </w:numPr>
      </w:pPr>
      <w:r>
        <w:t>свидетельство о браке/расторжении;</w:t>
      </w:r>
    </w:p>
    <w:p>
      <w:pPr>
        <w:pStyle w:val="ListBullet"/>
        <w:numPr>
          <w:ilvl w:val="0"/>
          <w:numId w:val="11"/>
        </w:numPr>
      </w:pPr>
      <w:r>
        <w:t>договор приобретения квартиры и платежи;</w:t>
      </w:r>
    </w:p>
    <w:p>
      <w:pPr>
        <w:pStyle w:val="ListBullet"/>
        <w:numPr>
          <w:ilvl w:val="0"/>
          <w:numId w:val="11"/>
        </w:numPr>
      </w:pPr>
      <w:r>
        <w:t>оспариваемый договор;</w:t>
      </w:r>
    </w:p>
    <w:p>
      <w:pPr>
        <w:pStyle w:val="ListBullet"/>
        <w:numPr>
          <w:ilvl w:val="0"/>
          <w:numId w:val="11"/>
        </w:numPr>
      </w:pPr>
      <w:r>
        <w:t>выписка ЕГРН и сведения об обременениях;</w:t>
      </w:r>
    </w:p>
    <w:p>
      <w:pPr>
        <w:pStyle w:val="ListBullet"/>
        <w:numPr>
          <w:ilvl w:val="0"/>
          <w:numId w:val="11"/>
        </w:numPr>
      </w:pPr>
      <w:r>
        <w:t>доказательства отсутствия/пределов согласия;</w:t>
      </w:r>
    </w:p>
    <w:p>
      <w:pPr>
        <w:pStyle w:val="ListBullet"/>
        <w:numPr>
          <w:ilvl w:val="0"/>
          <w:numId w:val="11"/>
        </w:numPr>
      </w:pPr>
      <w:r>
        <w:t>доказательства даты осведомлённости;</w:t>
      </w:r>
    </w:p>
    <w:p>
      <w:pPr>
        <w:pStyle w:val="ListBullet"/>
        <w:numPr>
          <w:ilvl w:val="0"/>
          <w:numId w:val="11"/>
        </w:numPr>
      </w:pPr>
      <w:r>
        <w:t>расчёт;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34–36 СК РФ; статьи 166–167, 173.1 и 181 ГК РФ; статьи 30, 40, 56–57, 88, 91, 94, 98, 100, 131–132, 139–144 ГПК РФ; статья 333.19 НК РФ; Постановление КС РФ от 30.10.2025 № 36-П — в применимой части.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38" w:right="1440" w:bottom="1238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83" w:lineRule="auto"/>
    </w:pPr>
    <w:rPr>
      <w:rFonts w:ascii="Calibri" w:hAnsi="Calibri"/>
      <w:color w:val="1421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60" w:line="283" w:lineRule="auto"/>
      <w:contextualSpacing/>
    </w:pPr>
    <w:rPr>
      <w:rFonts w:ascii="Calibri" w:hAnsi="Calibri"/>
      <w:color w:val="14213D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60" w:line="283" w:lineRule="auto"/>
      <w:contextualSpacing/>
    </w:pPr>
    <w:rPr>
      <w:rFonts w:ascii="Calibri" w:hAnsi="Calibri"/>
      <w:color w:val="14213D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40"/>
    </w:pPr>
    <w:rPr>
      <w:rFonts w:ascii="Calibri" w:hAnsi="Calibri"/>
      <w:b/>
      <w:color w:val="8F2B24"/>
      <w:sz w:val="42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