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признании недействительным решения общего собрания собственников помещений в МКД</w:t>
      </w:r>
    </w:p>
    <w:p>
      <w:pPr>
        <w:spacing w:after="40"/>
      </w:pPr>
      <w:r>
        <w:rPr>
          <w:b/>
          <w:color w:val="676767"/>
        </w:rPr>
        <w:t>Категория: Иски  •  Статья сайта: №309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заблаговременного уведомления остальных собственников. Истец должен показать право на помещение, нарушение порядка или компетенции и существенные неблагоприятные последствия.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общей территориальной подсудности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Истец: [ФИО и все реквизиты по ст.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[инициатор / иное надлежащее лицо, адрес,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[УК / ТСЖ / ГЖИ / иные лица по предмету решения]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[за требование неимущественного характера по действующей редакции НК РФ]</w:t>
      </w:r>
    </w:p>
    <w:p>
      <w:pPr>
        <w:pStyle w:val="Heading1"/>
      </w:pPr>
      <w:r>
        <w:t>ИСКОВОЕ ЗАЯВЛЕНИЕ О ПРИЗНАНИИ НЕДЕЙСТВИТЕЛЬНЫМ РЕШЕНИЯ ОБЩЕГО СОБРАНИЯ</w:t>
      </w:r>
    </w:p>
    <w:p>
      <w:pPr>
        <w:pStyle w:val="Heading2"/>
      </w:pPr>
      <w:r>
        <w:t>ОПИСАТЕЛЬНАЯ ЧАСТЬ</w:t>
      </w:r>
    </w:p>
    <w:p>
      <w:r>
        <w:t>Истец владеет помещением [номер, адрес, кадастровый номер]. Протоколом от [дата] оформлены решения по вопросам [точно перечислить]. О решениях истец узнал [дата, источник].</w:t>
      </w:r>
    </w:p>
    <w:p>
      <w:r>
        <w:t>Нарушения: [неверная подпись истца и иных лиц; двойной учёт голосов; отсутствие кворума; ненадлежащее извещение; выход за повестку; отсутствие компетенции]. Каждое подтверждается [доказательства].</w:t>
      </w:r>
    </w:p>
    <w:p>
      <w:r>
        <w:t>Права истца нарушены тем, что [возложена плата, сменена УК, передано общее имущество или возникли иные существенные последствия]. Истец [не участвовал / голосовал против / его голос искажён]. Уведомление по п. 6 ст. 181.4 ГК РФ направлено / размещено [дата, способ].</w:t>
      </w:r>
    </w:p>
    <w:p>
      <w:pPr>
        <w:pStyle w:val="Heading2"/>
      </w:pPr>
      <w:r>
        <w:t>МОТИВИРОВОЧНАЯ ЧАСТЬ</w:t>
      </w:r>
    </w:p>
    <w:p>
      <w:r>
        <w:t>Решение собрания может быть признано судом недействительным при существенном нарушении порядка, компетенции, равенства или прав участника. Иск подаётся в течение шести месяцев со дня, когда лицо узнало или должно было узнать, но не позднее двух лет от общедоступности сведений.</w:t>
      </w:r>
    </w:p>
    <w:p>
      <w:pPr>
        <w:pStyle w:val="Heading2"/>
      </w:pPr>
      <w:r>
        <w:t>ПРОСИТЕЛЬНАЯ ЧАСТЬ</w:t>
      </w:r>
    </w:p>
    <w:p>
      <w:r>
        <w:t>На основании статей 181.3–181.5 ГК РФ, статей 44–46 ЖК РФ, статей 24, 28, 56–57, 131–132 ГПК РФ ПРОШУ:</w:t>
      </w:r>
    </w:p>
    <w:p>
      <w:pPr>
        <w:pStyle w:val="ListNumber"/>
        <w:numPr>
          <w:ilvl w:val="0"/>
          <w:numId w:val="10"/>
        </w:numPr>
      </w:pPr>
      <w:r>
        <w:t>Признать недействительным решение общего собрания собственников помещений дома [адрес], оформленное протоколом от [дата], в части пунктов [номера] / в целом [основание].</w:t>
      </w:r>
    </w:p>
    <w:p>
      <w:pPr>
        <w:pStyle w:val="ListNumber"/>
        <w:numPr>
          <w:ilvl w:val="0"/>
          <w:numId w:val="10"/>
        </w:numPr>
      </w:pPr>
      <w:r>
        <w:t>Применить последствия недействительности: [прекратить начисления / исключить запись о выборе УК / иное конкретное последствие], если это требование обосновано и адресовано надлежащему лицу.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[перечень, 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Подделка подписи — доказательство, но не замена расчёту кворума и оценке того, могло ли нарушение повлиять на результат.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копий иска;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протокол, решения, реестр голосования;</w:t>
      </w:r>
    </w:p>
    <w:p>
      <w:pPr>
        <w:pStyle w:val="ListBullet"/>
        <w:numPr>
          <w:ilvl w:val="0"/>
          <w:numId w:val="11"/>
        </w:numPr>
      </w:pPr>
      <w:r>
        <w:t>сообщение о собрании и доказательства его направления;</w:t>
      </w:r>
    </w:p>
    <w:p>
      <w:pPr>
        <w:pStyle w:val="ListBullet"/>
        <w:numPr>
          <w:ilvl w:val="0"/>
          <w:numId w:val="11"/>
        </w:numPr>
      </w:pPr>
      <w:r>
        <w:t>почерковедческое заключение / образцы подписей — при наличии;</w:t>
      </w:r>
    </w:p>
    <w:p>
      <w:pPr>
        <w:pStyle w:val="ListBullet"/>
        <w:numPr>
          <w:ilvl w:val="0"/>
          <w:numId w:val="11"/>
        </w:numPr>
      </w:pPr>
      <w:r>
        <w:t>расчёт площадей, голосов и кворума;</w:t>
      </w:r>
    </w:p>
    <w:p>
      <w:pPr>
        <w:pStyle w:val="ListBullet"/>
        <w:numPr>
          <w:ilvl w:val="0"/>
          <w:numId w:val="11"/>
        </w:numPr>
      </w:pPr>
      <w:r>
        <w:t>досудебное уведомление и доказательства его размещения;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 / ходатайство;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181.3–181.5 ГК РФ; статьи 44–46 ЖК РФ; статьи 24, 28, 56–57,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