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сделки недействительной из-за психического состояния гражданина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№320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опекуном либо иным надлежащим истцом для возврата имущества по сделке. Основание выбирается по моменту сделки: статья 171 ГК РФ — после признания гражданина недееспособным; статья 177 ГК РФ — если на дату сделки гражданин ещё не был признан недееспособным, но не мог понимать значение действий или руководить ими.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жительства ответчика / по исключительной подсудности при споре о недвижимости</w:t>
      </w:r>
    </w:p>
    <w:p>
      <w:pPr>
        <w:spacing w:after="40"/>
        <w:jc w:val="left"/>
      </w:pPr>
      <w:r>
        <w:rPr>
          <w:color w:val="14213D"/>
          <w:sz w:val="20"/>
        </w:rPr>
        <w:t>Истец: [опекун / гражданин / иное надлежащее лицо: реквизиты по ст. 131 ГПК РФ]</w:t>
      </w:r>
    </w:p>
    <w:p>
      <w:pPr>
        <w:spacing w:after="40"/>
        <w:jc w:val="right"/>
      </w:pPr>
      <w:r>
        <w:rPr>
          <w:color w:val="14213D"/>
          <w:sz w:val="20"/>
        </w:rPr>
        <w:t>В интересах: [ФИО гражданина]</w:t>
      </w:r>
    </w:p>
    <w:p>
      <w:pPr>
        <w:spacing w:after="40"/>
        <w:jc w:val="left"/>
      </w:pPr>
      <w:r>
        <w:rPr>
          <w:color w:val="14213D"/>
          <w:sz w:val="20"/>
        </w:rPr>
        <w:t>Ответчик: [сторона сделки,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[Росреестр / нотариус / приобретатель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[стоимость имущества / сумма требований]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действующей редакции НК РФ / льгота / ходатайство]</w:t>
      </w:r>
    </w:p>
    <w:p>
      <w:pPr>
        <w:pStyle w:val="Heading1"/>
      </w:pPr>
      <w:r>
        <w:t>ИСКОВОЕ ЗАЯВЛЕНИЕ О ПРИЗНАНИИ СДЕЛКИ НЕДЕЙСТВИТЕЛЬНОЙ И ПРИМЕНЕНИИ ПОСЛЕДСТВИЙ НЕДЕЙСТВИТЕЛЬНОСТИ</w:t>
      </w:r>
    </w:p>
    <w:p>
      <w:pPr>
        <w:pStyle w:val="Heading2"/>
      </w:pPr>
      <w:r>
        <w:t>ОПИСАТЕЛЬНАЯ ЧАСТЬ</w:t>
      </w:r>
    </w:p>
    <w:p>
      <w:r>
        <w:t>[Дата] между [ФИО] и ответчиком заключена сделка: [вид, предмет, цена, реквизиты]. По сделке передано [имущество / деньги], право зарегистрировано [если применимо].</w:t>
      </w:r>
    </w:p>
    <w:p>
      <w:r>
        <w:t>На дату сделки состояние [ФИО] проявлялось в [конкретные симптомы и действия]. Это подтверждается [медицинские записи до и после сделки, свидетели, переписка, заключения]. Решением [суд] от [дата] гражданин признан недееспособным [если решение уже было до сделки — указать дату вступления в силу].</w:t>
      </w:r>
    </w:p>
    <w:p>
      <w:r>
        <w:t>О нарушении права и совершённой сделке истец узнал [дата, обстоятельства]. До суда ответчику направлено требование [дата], результат: [ответ / отсутствие ответа].</w:t>
      </w:r>
    </w:p>
    <w:p>
      <w:pPr>
        <w:pStyle w:val="Heading2"/>
      </w:pPr>
      <w:r>
        <w:t>МОТИВИРОВОЧНАЯ ЧАСТЬ</w:t>
      </w:r>
    </w:p>
    <w:p>
      <w:r>
        <w:t>Если сделка совершена после признания гражданина недееспособным, применяется статья 171 ГК РФ. Если признания ещё не было, но гражданин в момент сделки не мог понимать значение своих действий или руководить ими, применяется статья 177 ГК РФ; это обстоятельство должно быть доказано применительно именно к моменту сделки, обычно с помощью экспертизы.</w:t>
      </w:r>
    </w:p>
    <w:p>
      <w:r>
        <w:t>Недействительность влечёт возврат сторонами полученного, а при невозможности возврата в натуре — возмещение стоимости. Для недвижимости формулируются также последствия для записи ЕГРН; права добросовестного последующего приобретателя оцениваются отдельно.</w:t>
      </w:r>
    </w:p>
    <w:p>
      <w:pPr>
        <w:pStyle w:val="Heading2"/>
      </w:pPr>
      <w:r>
        <w:t>ПРОСИТЕЛЬНАЯ ЧАСТЬ</w:t>
      </w:r>
    </w:p>
    <w:p>
      <w:r>
        <w:t>На основании статей 166–167 и [171 либо 177] ГК РФ, статей 24, 28–30, 56–57, 91,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недействительной сделку [вид, дата, стороны, предмет].</w:t>
      </w:r>
    </w:p>
    <w:p>
      <w:pPr>
        <w:pStyle w:val="ListNumber"/>
        <w:numPr>
          <w:ilvl w:val="0"/>
          <w:numId w:val="10"/>
        </w:numPr>
      </w:pPr>
      <w:r>
        <w:t>Применить последствия недействительности: возвратить [точное имущество / сумму] гражданину [ФИО], а ответчику — [полученное, если подлежит возврату].</w:t>
      </w:r>
    </w:p>
    <w:p>
      <w:pPr>
        <w:pStyle w:val="ListNumber"/>
        <w:numPr>
          <w:ilvl w:val="0"/>
          <w:numId w:val="10"/>
        </w:numPr>
      </w:pPr>
      <w:r>
        <w:t>Погасить / восстановить соответствующую запись ЕГРН [точная запись] после вступления решения в силу — если предметом является недвижимость.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 и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указывайте одновременно статьи 171 и 177 как взаимозаменяемые. Выберите основание по дате сделки и судебного решения; при последующей перепродаже имущества дополнительно проверяется виндикационная защита и добросовестность приобретателя.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 участникам;</w:t>
      </w:r>
    </w:p>
    <w:p>
      <w:pPr>
        <w:pStyle w:val="ListBullet"/>
        <w:numPr>
          <w:ilvl w:val="0"/>
          <w:numId w:val="11"/>
        </w:numPr>
      </w:pPr>
      <w:r>
        <w:t>договор и документы об исполнении;</w:t>
      </w:r>
    </w:p>
    <w:p>
      <w:pPr>
        <w:pStyle w:val="ListBullet"/>
        <w:numPr>
          <w:ilvl w:val="0"/>
          <w:numId w:val="11"/>
        </w:numPr>
      </w:pPr>
      <w:r>
        <w:t>решение о недееспособности и документы об опеке — если применимо;</w:t>
      </w:r>
    </w:p>
    <w:p>
      <w:pPr>
        <w:pStyle w:val="ListBullet"/>
        <w:numPr>
          <w:ilvl w:val="0"/>
          <w:numId w:val="11"/>
        </w:numPr>
      </w:pPr>
      <w:r>
        <w:t>медицинские документы, относящиеся к моменту сделки;</w:t>
      </w:r>
    </w:p>
    <w:p>
      <w:pPr>
        <w:pStyle w:val="ListBullet"/>
        <w:numPr>
          <w:ilvl w:val="0"/>
          <w:numId w:val="11"/>
        </w:numPr>
      </w:pPr>
      <w:r>
        <w:t>выписка ЕГРН / сведения о регистрации;</w:t>
      </w:r>
    </w:p>
    <w:p>
      <w:pPr>
        <w:pStyle w:val="ListBullet"/>
        <w:numPr>
          <w:ilvl w:val="0"/>
          <w:numId w:val="11"/>
        </w:numPr>
      </w:pPr>
      <w:r>
        <w:t>досудебное требование и ответ;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 / ходатайство;</w:t>
      </w:r>
    </w:p>
    <w:p>
      <w:pPr>
        <w:pStyle w:val="ListBullet"/>
        <w:numPr>
          <w:ilvl w:val="0"/>
          <w:numId w:val="11"/>
        </w:numPr>
      </w:pPr>
      <w:r>
        <w:t>доверенность и документы о полномочиях.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166–167, 171, 177, 181, 301–302 ГК РФ; статьи 24, 28–30, 56–57, 79,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