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неустойки за просрочку передачи объекта по ДДУ</w:t>
      </w:r>
    </w:p>
    <w:p>
      <w:pPr>
        <w:pStyle w:val="SmallNote"/>
      </w:pPr>
      <w:r>
        <w:t>Категория: Иски  •  Статья сайта: №230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Застройщик не выплатил правильно рассчитанную неустойку и убытки после претензии. Участник определил период просрочки и применимые специальные правила.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[мировой/районный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Ответчик-застройщик: [наименование,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[банк/эскроу-агент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 • Госпошлина: [льгота/расчёт]</w:t>
      </w:r>
    </w:p>
    <w:p>
      <w:pPr>
        <w:pStyle w:val="Heading1"/>
      </w:pPr>
      <w:r>
        <w:t>ИСКОВОЕ ЗАЯВЛЕНИЕ О ВЗЫСКАНИИ НЕУСТОЙКИ ЗА НАРУШЕНИЕ СРОКА ПЕРЕДАЧИ ОБЪЕКТА ПО ДДУ</w:t>
      </w:r>
    </w:p>
    <w:p>
      <w:pPr>
        <w:pStyle w:val="Heading2"/>
      </w:pPr>
      <w:r>
        <w:t>ОПИСАТЕЛЬНАЯ ЧАСТЬ</w:t>
      </w:r>
    </w:p>
    <w:p>
      <w:r>
        <w:t>По зарегистрированному ДДУ № [номер] от [дата] ответчик обязан передать объект [описание] не позднее [дата]. Цена договора — [сумма], оплачена [как].</w:t>
      </w:r>
    </w:p>
    <w:p>
      <w:r>
        <w:t>Объект передан [дата] / не передан. Истец не подписывал соглашение о переносе срока либо оспаривает его по основаниям [если есть]. Претензия вручена [дата], ответ [суть].</w:t>
      </w:r>
    </w:p>
    <w:p>
      <w:pPr>
        <w:pStyle w:val="Heading2"/>
      </w:pPr>
      <w:r>
        <w:t>МОТИВИРОВОЧНАЯ ЧАСТЬ</w:t>
      </w:r>
    </w:p>
    <w:p>
      <w:r>
        <w:t>По части 2 статьи 6 Закона № 214-ФЗ застройщик уплачивает неустойку за каждый день просрочки; для гражданина, приобретающего объект для личных нужд, она начисляется в двойном размере. Расчёт должен учитывать исключение периода 22.03.2024–31.12.2025 и специальные правила Постановления № 326. Потребительский штраф по части 3 статьи 10 Закона № 214-ФЗ оценивается с учётом Постановления КС РФ № 24-П.</w:t>
      </w:r>
    </w:p>
    <w:p>
      <w:pPr>
        <w:pStyle w:val="Heading2"/>
      </w:pPr>
      <w:r>
        <w:t>РАСЧЁТ ТРЕБОВАНИЙ</w:t>
      </w:r>
    </w:p>
    <w:p>
      <w:r>
        <w:t>Период 1: [даты, число дней] × цена [сумма] × ставка [значение] / 300 × коэффициент [1/2] = [сумма]. Период 22.03.2024–31.12.2025 = 0 дней начисления. Период после 01.01.2026: [даты и расчёт по действующей норме]. Неустойка [итого] + убытки [сумма] = цена иска [итого]. Моральный вред и штраф указываются отдельно.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Взыскать неустойку за допустимые периоды в размере [сумма] руб.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убытки сверх неустойки [сумма] руб. — в части, не покрытой ею.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 и штраф при наличии предусмотренных законом условий.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p>
      <w:pPr>
        <w:pStyle w:val="ListNumber"/>
        <w:numPr>
          <w:ilvl w:val="0"/>
          <w:numId w:val="10"/>
        </w:numPr>
      </w:pPr>
      <w:r>
        <w:t>Указать в решении период расчёта; вопрос специальной отсрочки исполнения разрешать по действующему регулированию и фактической дате предъявления.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Перед подачей заново проверьте редакцию Постановления № 326, дату передачи и дату исполнения. Нельзя переносить ставку или льготный период из одного отрезка просрочки на другой без расчёта.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ДДУ и подтверждение регистрации;</w:t>
      </w:r>
    </w:p>
    <w:p>
      <w:pPr>
        <w:pStyle w:val="ListBullet"/>
        <w:numPr>
          <w:ilvl w:val="0"/>
          <w:numId w:val="11"/>
        </w:numPr>
      </w:pPr>
      <w:r>
        <w:t>платёжные документы;</w:t>
      </w:r>
    </w:p>
    <w:p>
      <w:pPr>
        <w:pStyle w:val="ListBullet"/>
        <w:numPr>
          <w:ilvl w:val="0"/>
          <w:numId w:val="11"/>
        </w:numPr>
      </w:pPr>
      <w:r>
        <w:t>переписка и уведомления;</w:t>
      </w:r>
    </w:p>
    <w:p>
      <w:pPr>
        <w:pStyle w:val="ListBullet"/>
        <w:numPr>
          <w:ilvl w:val="0"/>
          <w:numId w:val="11"/>
        </w:numPr>
      </w:pPr>
      <w:r>
        <w:t>акт передачи — при наличии;</w:t>
      </w:r>
    </w:p>
    <w:p>
      <w:pPr>
        <w:pStyle w:val="ListBullet"/>
        <w:numPr>
          <w:ilvl w:val="0"/>
          <w:numId w:val="11"/>
        </w:numPr>
      </w:pPr>
      <w:r>
        <w:t>претензия, вручение и ответ;</w:t>
      </w:r>
    </w:p>
    <w:p>
      <w:pPr>
        <w:pStyle w:val="ListBullet"/>
        <w:numPr>
          <w:ilvl w:val="0"/>
          <w:numId w:val="11"/>
        </w:numPr>
      </w:pPr>
      <w:r>
        <w:t>детальный расчёт по периодам;</w:t>
      </w:r>
    </w:p>
    <w:p>
      <w:pPr>
        <w:pStyle w:val="ListBullet"/>
        <w:numPr>
          <w:ilvl w:val="0"/>
          <w:numId w:val="11"/>
        </w:numPr>
      </w:pPr>
      <w:r>
        <w:t>документы об убытках;</w:t>
      </w:r>
    </w:p>
    <w:p>
      <w:pPr>
        <w:pStyle w:val="ListBullet"/>
        <w:numPr>
          <w:ilvl w:val="0"/>
          <w:numId w:val="11"/>
        </w:numPr>
      </w:pPr>
      <w:r>
        <w:t>документы о потребительской цели;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часть 2 статьи 6, статьи 8–10 Федерального закона № 214-ФЗ; Постановление Правительства РФ № 326 в действующей редакции; Постановление КС РФ от 14.04.2026 № 24-П; статьи 15, 309, 310, 330 и 333 ГК РФ; статьи 23–24, 28–29, 56–57, 88, 91, 94, 98, 100, 131–132 ГПК РФ; статьи 333.19 и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38" w:right="1440" w:bottom="1238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40"/>
    </w:pPr>
    <w:rPr>
      <w:rFonts w:ascii="Calibri" w:hAnsi="Calibri"/>
      <w:b/>
      <w:color w:val="8F2B24"/>
      <w:sz w:val="42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