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взыскании неустойки за просрочку уплаты алиментов</w:t>
      </w:r>
    </w:p>
    <w:p>
      <w:pPr>
        <w:spacing w:after="40"/>
      </w:pPr>
      <w:r>
        <w:rPr>
          <w:b/>
          <w:color w:val="676767"/>
        </w:rPr>
        <w:t>Категория: Иски  •  Статья сайта: №318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при наличии задолженности по алиментам, возникшей по вине плательщика. Нужны постановление пристава о долге и отдельный ежедневный расчёт неустойки по каждому просроченному платежу; отсутствие вины ответчика может исключить ответственность.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по подсудности</w:t>
      </w:r>
    </w:p>
    <w:p>
      <w:pPr>
        <w:spacing w:after="40"/>
        <w:jc w:val="left"/>
      </w:pPr>
      <w:r>
        <w:rPr>
          <w:color w:val="14213D"/>
          <w:sz w:val="20"/>
        </w:rPr>
        <w:t>Истец: [получатель алиментов / законный представитель, реквизиты по ст. 131 ГПК РФ]</w:t>
      </w:r>
    </w:p>
    <w:p>
      <w:pPr>
        <w:spacing w:after="40"/>
        <w:jc w:val="left"/>
      </w:pPr>
      <w:r>
        <w:rPr>
          <w:color w:val="14213D"/>
          <w:sz w:val="20"/>
        </w:rPr>
        <w:t>Ответчик: [плательщик, адрес, дата и место рождения, идентификатор — если известен]</w:t>
      </w:r>
    </w:p>
    <w:p>
      <w:pPr>
        <w:spacing w:after="40"/>
        <w:jc w:val="left"/>
      </w:pPr>
      <w:r>
        <w:rPr>
          <w:color w:val="14213D"/>
          <w:sz w:val="20"/>
        </w:rPr>
        <w:t>Ребёнок / получатель содержания: [ФИО]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 неустойки и иных денежных требований]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[льгота / расчёт по действующей редакции НК РФ; проверить по составу требований]</w:t>
      </w:r>
    </w:p>
    <w:p>
      <w:pPr>
        <w:pStyle w:val="Heading1"/>
      </w:pPr>
      <w:r>
        <w:t>ИСКОВОЕ ЗАЯВЛЕНИЕ О ВЗЫСКАНИИ НЕУСТОЙКИ ЗА НЕСВОЕВРЕМЕННУЮ УПЛАТУ АЛИМЕНТОВ</w:t>
      </w:r>
    </w:p>
    <w:p>
      <w:pPr>
        <w:pStyle w:val="Heading2"/>
      </w:pPr>
      <w:r>
        <w:t>ОПИСАТЕЛЬНАЯ ЧАСТЬ</w:t>
      </w:r>
    </w:p>
    <w:p>
      <w:r>
        <w:t>На основании [судебный акт / нотариальное соглашение] ответчик обязан уплачивать алименты [размер, периодичность]. Исполнительное производство № [номер] возбуждено [дата].</w:t>
      </w:r>
    </w:p>
    <w:p>
      <w:r>
        <w:t>Постановлением пристава от [дата] определена задолженность за период [даты] в размере [сумма] руб. Просрочка возникла по вине ответчика: [скрывал доход, не сообщал место работы, не платил при наличии возможности — факты и доказательства].</w:t>
      </w:r>
    </w:p>
    <w:p>
      <w:r>
        <w:t>Неустойка рассчитана отдельно по каждому ежемесячному платежу со следующего дня после срока уплаты по [дата расчёта]. Итог — [сумма] руб. Подробная таблица прилагается.</w:t>
      </w:r>
    </w:p>
    <w:p>
      <w:pPr>
        <w:pStyle w:val="Heading2"/>
      </w:pPr>
      <w:r>
        <w:t>МОТИВИРОВОЧНАЯ ЧАСТЬ</w:t>
      </w:r>
    </w:p>
    <w:p>
      <w:r>
        <w:t>При задолженности по вине плательщика алиментов, взысканных судом, получателю причитается неустойка 0,1 процента от суммы невыплаченных алиментов за каждый день просрочки. Суд вправе уменьшить явно несоразмерную неустойку с учётом материального и семейного положения ответчика.</w:t>
      </w:r>
    </w:p>
    <w:p>
      <w:pPr>
        <w:pStyle w:val="Heading2"/>
      </w:pPr>
      <w:r>
        <w:t>ПРОСИТЕЛЬНАЯ ЧАСТЬ</w:t>
      </w:r>
    </w:p>
    <w:p>
      <w:r>
        <w:t>На основании статей 113–115 СК РФ, статей 24, 28–29, 56–57, 91, 131–132 ГПК РФ ПРОШУ:</w:t>
      </w:r>
    </w:p>
    <w:p>
      <w:pPr>
        <w:pStyle w:val="ListNumber"/>
        <w:numPr>
          <w:ilvl w:val="0"/>
          <w:numId w:val="10"/>
        </w:numPr>
      </w:pPr>
      <w:r>
        <w:t>Взыскать с ответчика неустойку за период [даты] в размере [сумма] руб. по приложенному расчёту.</w:t>
      </w:r>
    </w:p>
    <w:p>
      <w:pPr>
        <w:pStyle w:val="ListNumber"/>
        <w:numPr>
          <w:ilvl w:val="0"/>
          <w:numId w:val="10"/>
        </w:numPr>
      </w:pPr>
      <w:r>
        <w:t>Взыскать доказанные убытки в части, не покрытой неустойкой, в размере [сумма] руб. — если заявляются и подтверждены.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[перечень и сумма].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умножайте весь конечный долг на общее число дней: каждый ежемесячный платёж имеет собственную дату начала просрочки. Периоды без вины плательщика в расчёт не включаются.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подтверждение направления иска ответчику;</w:t>
      </w:r>
    </w:p>
    <w:p>
      <w:pPr>
        <w:pStyle w:val="ListBullet"/>
        <w:numPr>
          <w:ilvl w:val="0"/>
          <w:numId w:val="11"/>
        </w:numPr>
      </w:pPr>
      <w:r>
        <w:t>судебный акт / соглашение об алиментах;</w:t>
      </w:r>
    </w:p>
    <w:p>
      <w:pPr>
        <w:pStyle w:val="ListBullet"/>
        <w:numPr>
          <w:ilvl w:val="0"/>
          <w:numId w:val="11"/>
        </w:numPr>
      </w:pPr>
      <w:r>
        <w:t>исполнительный документ;</w:t>
      </w:r>
    </w:p>
    <w:p>
      <w:pPr>
        <w:pStyle w:val="ListBullet"/>
        <w:numPr>
          <w:ilvl w:val="0"/>
          <w:numId w:val="11"/>
        </w:numPr>
      </w:pPr>
      <w:r>
        <w:t>постановление пристава о задолженности;</w:t>
      </w:r>
    </w:p>
    <w:p>
      <w:pPr>
        <w:pStyle w:val="ListBullet"/>
        <w:numPr>
          <w:ilvl w:val="0"/>
          <w:numId w:val="11"/>
        </w:numPr>
      </w:pPr>
      <w:r>
        <w:t>помесячный расчёт долга и неустойки;</w:t>
      </w:r>
    </w:p>
    <w:p>
      <w:pPr>
        <w:pStyle w:val="ListBullet"/>
        <w:numPr>
          <w:ilvl w:val="0"/>
          <w:numId w:val="11"/>
        </w:numPr>
      </w:pPr>
      <w:r>
        <w:t>доказательства вины ответчика;</w:t>
      </w:r>
    </w:p>
    <w:p>
      <w:pPr>
        <w:pStyle w:val="ListBullet"/>
        <w:numPr>
          <w:ilvl w:val="0"/>
          <w:numId w:val="11"/>
        </w:numPr>
      </w:pPr>
      <w:r>
        <w:t>документы о платежах;</w:t>
      </w:r>
    </w:p>
    <w:p>
      <w:pPr>
        <w:pStyle w:val="ListBullet"/>
        <w:numPr>
          <w:ilvl w:val="0"/>
          <w:numId w:val="11"/>
        </w:numPr>
      </w:pPr>
      <w:r>
        <w:t>расчёт цены иска;</w:t>
      </w:r>
    </w:p>
    <w:p>
      <w:pPr>
        <w:pStyle w:val="ListBullet"/>
        <w:numPr>
          <w:ilvl w:val="0"/>
          <w:numId w:val="11"/>
        </w:numPr>
      </w:pPr>
      <w:r>
        <w:t>документ о госпошлине / льготе / ходатайство;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113–115 СК РФ; статья 102 Федерального закона № 229-ФЗ; статьи 24, 28–29, 56–57, 91, 131–132 ГПК РФ; статья 333.36 НК РФ — в применимой части.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№318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