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невыплаченной зарплаты и компенсации за задержку</w:t>
      </w:r>
    </w:p>
    <w:p>
      <w:r>
        <w:t xml:space="preserve">Я работал(а) у Ответчика в должности [должность].</w:t>
      </w:r>
    </w:p>
    <w:p>
      <w:r>
        <w:t xml:space="preserve">За период [период] Ответчик не выплатил (выплатил частично) заработную плату: задолженность — [сумма] руб.</w:t>
      </w:r>
    </w:p>
    <w:p>
      <w:r>
        <w:t xml:space="preserve">За задержку выплат подлежит начислению компенсация по ст. 236 ТК РФ (1/150 ключевой ставки за каждый день) — [сумма] руб.</w:t>
      </w:r>
    </w:p>
    <w:p>
      <w:r>
        <w:t xml:space="preserve">Обращение к работодателю от «___» ________ 20__ г. не удовлетворено.</w:t>
      </w:r>
    </w:p>
    <w:p/>
    <w:p>
      <w:r>
        <w:t xml:space="preserve">На основании изложенного, руководствуясь ст. 22, 136, 236 ТК РФ, ст. 392, 393 ТК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задолженность по зарплате — [сумма] руб.</w:t>
      </w:r>
    </w:p>
    <w:p>
      <w:r>
        <w:t xml:space="preserve">2. Взыскать компенсацию за задержку выплат по ст. 236 ТК РФ — [сумма] руб.</w:t>
      </w:r>
    </w:p>
    <w:p>
      <w:r>
        <w:t xml:space="preserve">3.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трудовой договор</w:t>
      </w:r>
    </w:p>
    <w:p>
      <w:r>
        <w:t xml:space="preserve">2. справка о начислениях и выплатах (2-НДФЛ / расчётные листки)</w:t>
      </w:r>
    </w:p>
    <w:p>
      <w:r>
        <w:t xml:space="preserve">3. выписка по счёту о неполучении денег</w:t>
      </w:r>
    </w:p>
    <w:p>
      <w:r>
        <w:t xml:space="preserve">4. расчёт долга и компенсации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по невыплаченной зарплате — 1 ГОД (ст. 392 ТК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(работник, ст. 393 ТК РФ).</w:t>
      </w:r>
    </w:p>
    <w:p>
      <w:r>
        <w:rPr>
          <w:i/>
          <w:iCs/>
          <w:sz w:val="18"/>
          <w:szCs w:val="18"/>
        </w:rPr>
        <w:t xml:space="preserve">• Компенсация ст. 236 ТК РФ — в калькуляторе на сайте (зависит от ключевой ставки).</w:t>
      </w:r>
    </w:p>
    <w:p>
      <w:r>
        <w:rPr>
          <w:i/>
          <w:iCs/>
          <w:sz w:val="18"/>
          <w:szCs w:val="18"/>
        </w:rPr>
        <w:t xml:space="preserve">• Подсудность: по выбору работника (ст. 29 ГПК РФ).</w:t>
      </w:r>
    </w:p>
    <w:p>
      <w:r>
        <w:rPr>
          <w:i/>
          <w:iCs/>
          <w:sz w:val="18"/>
          <w:szCs w:val="18"/>
        </w:rPr>
        <w:t xml:space="preserve">• Связанные документы: [isk-vosstanovlenie-na-rabote]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2026-08-17T06:35:44.549Z</dcterms:created>
  <dcterms:modified xsi:type="dcterms:W3CDTF">2026-08-17T06:35:44.549Z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