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подвала, чердака или технического помещения общим имуществом и устранении препятствий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после изучения документов о первоначальном назначении. Если за ответчиком зарегистрировано право, формулируется требование о признании права общей долевой собственности и корректировке записи; если отдельного права нет — об освобождении и устранении препятствий.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месту нахождения недвижимости]</w:t>
      </w:r>
    </w:p>
    <w:p>
      <w:pPr>
        <w:spacing w:after="40"/>
        <w:jc w:val="left"/>
      </w:pPr>
      <w:r>
        <w:rPr>
          <w:color w:val="14213D"/>
          <w:sz w:val="20"/>
        </w:rPr>
        <w:t>Истец: [собственник / уполномоченное лицо, данные]</w:t>
      </w:r>
    </w:p>
    <w:p>
      <w:pPr>
        <w:spacing w:after="40"/>
        <w:jc w:val="left"/>
      </w:pPr>
      <w:r>
        <w:rPr>
          <w:color w:val="14213D"/>
          <w:sz w:val="20"/>
        </w:rPr>
        <w:t>Ответчик: [владелец записи / фактический пользователь, данные]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[Росреестр, УК/ТСЖ, администрация]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характеру требований и актуальным правилам]</w:t>
      </w:r>
    </w:p>
    <w:p>
      <w:pPr>
        <w:pStyle w:val="Heading1"/>
      </w:pPr>
      <w:r>
        <w:t>ИСКОВОЕ ЗАЯВЛЕНИЕ О ПРАВАХ НА ТЕХНИЧЕСКОЕ ПОМЕЩЕНИЕ</w:t>
      </w:r>
    </w:p>
    <w:p>
      <w:r>
        <w:t>Спорное помещение расположено [описание, площадь, кадастровый номер]. Дом введён в эксплуатацию [дата]. По первоначальным планам и актам помещение предназначено для [обслуживание сетей / технические функции]; в нём находятся [оборудование].</w:t>
      </w:r>
    </w:p>
    <w:p>
      <w:r>
        <w:t>Ответчик [зарегистрировал право / установил замки / занял помещение] на основании [документ]. Доступ собственников и управляющей организации ограничен: [факты].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Признать спорное помещение общим имуществом собственников помещений дома — если это подтверждено первоначальным назначением и документами.</w:t>
      </w:r>
    </w:p>
    <w:p>
      <w:pPr>
        <w:pStyle w:val="ListNumber"/>
        <w:numPr>
          <w:ilvl w:val="0"/>
          <w:numId w:val="10"/>
        </w:numPr>
      </w:pPr>
      <w:r>
        <w:t>Признать отсутствующим / прекратить зарегистрированное право ответчика и указать последствия для записи ЕГРН — если такая запись имеется и выбран надлежащий способ защиты.</w:t>
      </w:r>
    </w:p>
    <w:p>
      <w:pPr>
        <w:pStyle w:val="ListNumber"/>
        <w:numPr>
          <w:ilvl w:val="0"/>
          <w:numId w:val="10"/>
        </w:numPr>
      </w:pPr>
      <w:r>
        <w:t>Обязать ответчика освободить помещение, передать ключи уполномоченному лицу и демонтировать конкретные самовольно установленные конструкции.</w:t>
      </w:r>
    </w:p>
    <w:p>
      <w:pPr>
        <w:pStyle w:val="ListNumber"/>
        <w:numPr>
          <w:ilvl w:val="0"/>
          <w:numId w:val="10"/>
        </w:numPr>
      </w:pPr>
      <w:r>
        <w:t>Восстановить доступ к общедомовым сетям и запретить дальнейшие препятствия в их обслуживании.</w:t>
      </w:r>
    </w:p>
    <w:p>
      <w:pPr>
        <w:pStyle w:val="ListNumber"/>
        <w:numPr>
          <w:ilvl w:val="0"/>
          <w:numId w:val="10"/>
        </w:numPr>
      </w:pPr>
      <w:r>
        <w:t>Истребовать архивные планы, регистрационное дело и основание первоначального оформления права.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Удалите требования, не соответствующие ситуации. Если зарегистрированного отдельного права нет, спор о записи ЕГРН не нужен; если право есть, одного негаторного требования может быть недостаточно.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выписки ЕГРН на дом и помещение;</w:t>
      </w:r>
    </w:p>
    <w:p>
      <w:pPr>
        <w:pStyle w:val="ListBullet"/>
        <w:numPr>
          <w:ilvl w:val="0"/>
          <w:numId w:val="11"/>
        </w:numPr>
      </w:pPr>
      <w:r>
        <w:t>архивные и современные планы, экспликация, технический паспорт;</w:t>
      </w:r>
    </w:p>
    <w:p>
      <w:pPr>
        <w:pStyle w:val="ListBullet"/>
        <w:numPr>
          <w:ilvl w:val="0"/>
          <w:numId w:val="11"/>
        </w:numPr>
      </w:pPr>
      <w:r>
        <w:t>проект, акт ввода и сведения о первом оформлении права;</w:t>
      </w:r>
    </w:p>
    <w:p>
      <w:pPr>
        <w:pStyle w:val="ListBullet"/>
        <w:numPr>
          <w:ilvl w:val="0"/>
          <w:numId w:val="11"/>
        </w:numPr>
      </w:pPr>
      <w:r>
        <w:t>акт УК/ТСЖ о сетях и доступе;</w:t>
      </w:r>
    </w:p>
    <w:p>
      <w:pPr>
        <w:pStyle w:val="ListBullet"/>
        <w:numPr>
          <w:ilvl w:val="0"/>
          <w:numId w:val="11"/>
        </w:numPr>
      </w:pPr>
      <w:r>
        <w:t>протокол собрания и документы о полномочиях истца;</w:t>
      </w:r>
    </w:p>
    <w:p>
      <w:pPr>
        <w:pStyle w:val="ListBullet"/>
        <w:numPr>
          <w:ilvl w:val="0"/>
          <w:numId w:val="11"/>
        </w:numPr>
      </w:pPr>
      <w:r>
        <w:t>фотографии, обращения и ответы органов.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290 и 304 ГК РФ; статьи 36, 44–48 и 161 ЖК РФ; статьи 30, 56, 98 и 131–132 ГПК РФ. Способ защиты зависит от наличия зарегистрированного права и первоначального назначения помещения.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