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оплаты за сверхурочную работу и компенсации за задержку</w:t>
      </w:r>
    </w:p>
    <w:p>
      <w:pPr>
        <w:pStyle w:val="SmallNote"/>
      </w:pPr>
      <w:r>
        <w:t>Категория: Иски  •  Статья сайта: №272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работа сверх графика выполнялась по инициативе или с ведома работодателя, но не оплачена. Для выходных и праздничных дней нужен отдельный расчёт по ст. 153 ТК РФ.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[работодатель,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spacing w:after="40"/>
        <w:jc w:val="left"/>
      </w:pPr>
      <w:r>
        <w:rPr>
          <w:color w:val="14213D"/>
          <w:sz w:val="20"/>
        </w:rPr>
        <w:t>Госпошлина: истец по трудовому спору освобождён по ст. 393 ТК РФ</w:t>
      </w:r>
    </w:p>
    <w:p>
      <w:pPr>
        <w:pStyle w:val="Heading1"/>
      </w:pPr>
      <w:r>
        <w:t>ИСКОВОЕ ЗАЯВЛЕНИЕ О ВЗЫСКАНИИ ОПЛАТЫ ЗА СВЕРХУРОЧНУЮ РАБОТУ И КОМПЕНСАЦИЙ</w:t>
      </w:r>
    </w:p>
    <w:p>
      <w:pPr>
        <w:pStyle w:val="Heading2"/>
      </w:pPr>
      <w:r>
        <w:t>ОПИСАТЕЛЬНАЯ ЧАСТЬ</w:t>
      </w:r>
    </w:p>
    <w:p>
      <w:r>
        <w:t>Я работаю / работал(а) у ответчика в должности [должность] с [дата], график [график], система оплаты [условия].</w:t>
      </w:r>
    </w:p>
    <w:p>
      <w:r>
        <w:t>По распоряжениям [кого] я выполнял(а) работу сверх графика в даты и часы из таблицы. Ответчик знал о работе, принимал её результ и мог контролировать учёт. Оплачено [сумма], не оплачено [сумма]. Требование от [дата] не исполнено.</w:t>
      </w:r>
    </w:p>
    <w:p>
      <w:pPr>
        <w:pStyle w:val="Heading2"/>
      </w:pPr>
      <w:r>
        <w:t>МОТИВИРОВОЧНАЯ ЧАСТЬ</w:t>
      </w:r>
    </w:p>
    <w:p>
      <w:r>
        <w:t>Работодатель обязан учитывать время; привлечение к сверхурочной работе регулируется ст. 99, а оплата — ст. 152 ТК РФ. Отсутствие письменного приказа не устраняет обязанность оплатить работу, если доказана инициатива или осведомлённость работодателя. За задержку начисляется компенсация по ст. 236 ТК РФ.</w:t>
      </w:r>
    </w:p>
    <w:p>
      <w:pPr>
        <w:pStyle w:val="Heading2"/>
      </w:pPr>
      <w:r>
        <w:t>РАСЧЁТ ТРЕБОВАНИЙ</w:t>
      </w:r>
    </w:p>
    <w:p>
      <w:r>
        <w:t>По каждой дате: нормальные часы; сверхурочные часы; база исчисления; минимальный коэффициент по редакции ст. 152 ТК РФ, действовавшей в этот день; начислено; выплачено; долг. Итог долга [сумма]. Компенсация за задержку по периодам — [сумма] и до фактической выплаты. Моральный вред [сумма].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Взыскать с ответчика недоплаченную сумму за сверхурочную работу [сумма] руб.</w:t>
      </w:r>
    </w:p>
    <w:p>
      <w:pPr>
        <w:pStyle w:val="ListNumber"/>
        <w:numPr>
          <w:ilvl w:val="0"/>
          <w:numId w:val="10"/>
        </w:numPr>
      </w:pPr>
      <w:r>
        <w:t>Взыскать компенсацию за задержку по ст. 236 ТК РФ в [сумма на дату] руб. и по день фактической выплаты.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 и судебные издержки.</w:t>
      </w:r>
    </w:p>
    <w:p>
      <w:pPr>
        <w:pStyle w:val="ListNumber"/>
        <w:numPr>
          <w:ilvl w:val="0"/>
          <w:numId w:val="10"/>
        </w:numPr>
      </w:pPr>
      <w:r>
        <w:t>Истребовать у ответчика табели, данные систем доступа, приказы, расчётные ведомости и локальные акты.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Приложите отдельный подневный расчёт. Суд не должен сам выбирать из массива переписки часы, ставку и долг. Проверьте редакцию ст. 152 ТК РФ на каждый расчётный период.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копии иска ответчику;</w:t>
      </w:r>
    </w:p>
    <w:p>
      <w:pPr>
        <w:pStyle w:val="ListBullet"/>
        <w:numPr>
          <w:ilvl w:val="0"/>
          <w:numId w:val="11"/>
        </w:numPr>
      </w:pPr>
      <w:r>
        <w:t>трудовой договор и график;</w:t>
      </w:r>
    </w:p>
    <w:p>
      <w:pPr>
        <w:pStyle w:val="ListBullet"/>
        <w:numPr>
          <w:ilvl w:val="0"/>
          <w:numId w:val="11"/>
        </w:numPr>
      </w:pPr>
      <w:r>
        <w:t>подневная таблица и расчёт;</w:t>
      </w:r>
    </w:p>
    <w:p>
      <w:pPr>
        <w:pStyle w:val="ListBullet"/>
        <w:numPr>
          <w:ilvl w:val="0"/>
          <w:numId w:val="11"/>
        </w:numPr>
      </w:pPr>
      <w:r>
        <w:t>переписка, приказы, данные доступа, свидетели;</w:t>
      </w:r>
    </w:p>
    <w:p>
      <w:pPr>
        <w:pStyle w:val="ListBullet"/>
        <w:numPr>
          <w:ilvl w:val="0"/>
          <w:numId w:val="11"/>
        </w:numPr>
      </w:pPr>
      <w:r>
        <w:t>расчётные листки и выписки;</w:t>
      </w:r>
    </w:p>
    <w:p>
      <w:pPr>
        <w:pStyle w:val="ListBullet"/>
        <w:numPr>
          <w:ilvl w:val="0"/>
          <w:numId w:val="11"/>
        </w:numPr>
      </w:pPr>
      <w:r>
        <w:t>требование работодателю и жалоба ГИТ — при наличии;</w:t>
      </w:r>
    </w:p>
    <w:p>
      <w:pPr>
        <w:pStyle w:val="ListBullet"/>
        <w:numPr>
          <w:ilvl w:val="0"/>
          <w:numId w:val="11"/>
        </w:numPr>
      </w:pPr>
      <w:r>
        <w:t>расчёт морального вреда и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91, 99, 113, 152, 153, 236, 237, 392–393 ТК РФ; статьи 28–29, 56–57, 91,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