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на участок ИЖС при неопределённости вида права владения</w:t>
      </w:r>
    </w:p>
    <w:p>
      <w:r>
        <w:t xml:space="preserve">Я владею земельным участком [кадастровый номер] для ИЖС на основании акта / свидетельства старого образца, в котором вид права прямо не указан (либо указано: «по праву пользования», «бессрочное пользование», «по праву владения»).</w:t>
      </w:r>
    </w:p>
    <w:p>
      <w:r>
        <w:t xml:space="preserve">Согласно п. 9.1 ст. 3 ФЗ-137, если в акте / свидетельстве не указано право, либо невозможно определить его вид — участок считается предоставленным на праве СОБСТВЕННОСТИ (за исключением прямо перечисленных случаев).</w:t>
      </w:r>
    </w:p>
    <w:p>
      <w:r>
        <w:t xml:space="preserve">Росреестр отказал в регистрации, сославшись на неопределённость вида права.</w:t>
      </w:r>
    </w:p>
    <w:p>
      <w:r>
        <w:t xml:space="preserve">Отказ незаконен: неопределённость толкуется в пользу собственности (п. 9.1 ст. 3 ФЗ-137).</w:t>
      </w:r>
    </w:p>
    <w:p/>
    <w:p>
      <w:r>
        <w:t xml:space="preserve">На основании изложенного, руководствуясь ст. 27 ФЗ-218, ст. 3 ФЗ-137 «О введении в действие ЗК РФ»,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участок [кадастровый номер].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акт / свидетельство старого образца</w:t>
      </w:r>
    </w:p>
    <w:p>
      <w:r>
        <w:t xml:space="preserve">2. выписка ЕГРН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П. 9.1 ст. 3 ФЗ-137 — «золотая» норма: старый документ без указания вида права = собственность.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[isk-otkaz-registracii-izhs]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2026-08-17T06:35:46.496Z</dcterms:created>
  <dcterms:modified xsi:type="dcterms:W3CDTF">2026-08-17T06:35:46.496Z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