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права собственности на самовольно построенный объект</w:t>
      </w:r>
    </w:p>
    <w:p>
      <w:r>
        <w:t xml:space="preserve">На земельном участке [кадастровый номер], принадлежащем мне на праве [собственности / аренды / пожизненного владения], я возвёл объект: [описание].</w:t>
      </w:r>
    </w:p>
    <w:p>
      <w:r>
        <w:t xml:space="preserve">Объект возведён без разрешительной документации, в связи с чем Росреестр отказал в регистрации права собственности, указав на признаки самовольной постройки.</w:t>
      </w:r>
    </w:p>
    <w:p>
      <w:r>
        <w:t xml:space="preserve">Однако объект соответствует строительным и санитарным нормам, не нарушает прав третьих лиц, а участок допускает данное использование.</w:t>
      </w:r>
    </w:p>
    <w:p>
      <w:r>
        <w:t xml:space="preserve">Согласно п. 3 ст. 222 ГК РФ, право собственности на самовольную постройку может быть признано судом за возведшим её лицом.</w:t>
      </w:r>
    </w:p>
    <w:p/>
    <w:p>
      <w:r>
        <w:t xml:space="preserve">На основании изложенного, руководствуясь ст. 27 ФЗ-218, ст. 222 ГК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регистрации.</w:t>
      </w:r>
    </w:p>
    <w:p>
      <w:r>
        <w:t xml:space="preserve">2. Признать за мной право собственности на объект: [описание] (п. 3 ст. 222 ГК РФ).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на земельный участок</w:t>
      </w:r>
    </w:p>
    <w:p>
      <w:r>
        <w:t xml:space="preserve">2. технический план</w:t>
      </w:r>
    </w:p>
    <w:p>
      <w:r>
        <w:t xml:space="preserve">3. экспертное заключение о соответствии нормам</w:t>
      </w:r>
    </w:p>
    <w:p>
      <w:r>
        <w:t xml:space="preserve">4. решение об отказе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П. 3 ст. 222 ГК РФ: суд признаёт право на самовольную постройку, если она соответствует нормам и не нарушает прав третьих лиц.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объекта.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[isk-pravo-sobstvennosti-samovolnaya-postroyka]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2026-08-17T06:35:46.849Z</dcterms:created>
  <dcterms:modified xsi:type="dcterms:W3CDTF">2026-08-17T06:35:46.849Z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