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обязании продавца передать ключи и освободить проданную квартиру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когда продавец не исполнил письменное требование. Если переход права ещё не зарегистрирован, к требованиям добавляется понуждение к регистрации либо используется готовый специальный иск из библиотеки.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нахождения квартиры — проверить подсудность]</w:t>
      </w:r>
    </w:p>
    <w:p>
      <w:pPr>
        <w:spacing w:after="40"/>
        <w:jc w:val="left"/>
      </w:pPr>
      <w:r>
        <w:rPr>
          <w:color w:val="14213D"/>
          <w:sz w:val="20"/>
        </w:rPr>
        <w:t>Истец: [ФИО покупателя,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продавца,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[проживающие / орган регистрации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 и госпошлина: [по составу требований]</w:t>
      </w:r>
    </w:p>
    <w:p>
      <w:pPr>
        <w:pStyle w:val="Heading1"/>
      </w:pPr>
      <w:r>
        <w:t>ИСКОВОЕ ЗАЯВЛЕНИЕ ОБ ИСПОЛНЕНИИ ОБЯЗАННОСТИ ПЕРЕДАТЬ КВАРТИРУ</w:t>
      </w:r>
    </w:p>
    <w:p>
      <w:r>
        <w:t>По договору от [дата] ответчик продал истцу квартиру [данные]. Цена уплачена [доказательства]. Передать квартиру и ключи ответчик должен был [срок], однако [акт не подписывает / не освобождает / ключи не отдаёт].</w:t>
      </w:r>
    </w:p>
    <w:p>
      <w:r>
        <w:t>Претензия от [дата] получена [дата], но не исполнена. Право истца [зарегистрировано / регистрация не завершена по указанной причине]. Убытки от просрочки составили [сумма] руб.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Обязать ответчика передать истцу квартиру по передаточному акту, передать ключи и предусмотренные договором принадлежности и документы.</w:t>
      </w:r>
    </w:p>
    <w:p>
      <w:pPr>
        <w:pStyle w:val="ListNumber"/>
        <w:numPr>
          <w:ilvl w:val="0"/>
          <w:numId w:val="10"/>
        </w:numPr>
      </w:pPr>
      <w:r>
        <w:t>Обязать ответчика освободить квартиру от принадлежащих ему вещей и прекратить пользование — с учётом состава проживающих и их прав.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 в размере [сумма] руб.</w:t>
      </w:r>
    </w:p>
    <w:p>
      <w:pPr>
        <w:pStyle w:val="ListNumber"/>
        <w:numPr>
          <w:ilvl w:val="0"/>
          <w:numId w:val="10"/>
        </w:numPr>
      </w:pPr>
      <w:r>
        <w:t>При необходимости определить в решении срок и конкретный порядок совершения действий, позволяющий исполнить судебный акт.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в квартире зарегистрированы несовершеннолетние, наниматели или иные лица, их статус и состав участников дела проверяются отдельно. Нельзя автоматически требовать выселения всех без указания правового основания по каждому лицу.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приложения и акт — если составлялся;</w:t>
      </w:r>
    </w:p>
    <w:p>
      <w:pPr>
        <w:pStyle w:val="ListBullet"/>
        <w:numPr>
          <w:ilvl w:val="0"/>
          <w:numId w:val="11"/>
        </w:numPr>
      </w:pPr>
      <w:r>
        <w:t>доказательства полной оплаты;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претензия и подтверждение вручения;</w:t>
      </w:r>
    </w:p>
    <w:p>
      <w:pPr>
        <w:pStyle w:val="ListBullet"/>
        <w:numPr>
          <w:ilvl w:val="0"/>
          <w:numId w:val="11"/>
        </w:numPr>
      </w:pPr>
      <w:r>
        <w:t>переписка, акт осмотра и доказательства удержания ключей;</w:t>
      </w:r>
    </w:p>
    <w:p>
      <w:pPr>
        <w:pStyle w:val="ListBullet"/>
        <w:numPr>
          <w:ilvl w:val="0"/>
          <w:numId w:val="11"/>
        </w:numPr>
      </w:pPr>
      <w:r>
        <w:t>расчёт убытков и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309, 310, 398, 454, 456, 551 и 556 ГК РФ; статьи 30, 56, 98, 131–132 и 206 ГПК РФ. Состав требований зависит от регистрации перехода права и прав фактически проживающих лиц.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